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F114" w14:textId="77777777" w:rsidR="00D567C0" w:rsidRDefault="00F96AE2">
      <w:pPr>
        <w:spacing w:after="81" w:line="1" w:lineRule="exact"/>
      </w:pPr>
      <w:r>
        <w:rPr>
          <w:noProof/>
          <w:lang w:val="ru-RU" w:eastAsia="ru-RU" w:bidi="ar-SA"/>
        </w:rPr>
        <w:drawing>
          <wp:anchor distT="0" distB="0" distL="0" distR="0" simplePos="0" relativeHeight="251654656" behindDoc="1" locked="0" layoutInCell="1" allowOverlap="1" wp14:anchorId="23D9898F" wp14:editId="7A46DAA5">
            <wp:simplePos x="0" y="0"/>
            <wp:positionH relativeFrom="page">
              <wp:posOffset>449580</wp:posOffset>
            </wp:positionH>
            <wp:positionV relativeFrom="margin">
              <wp:posOffset>-383540</wp:posOffset>
            </wp:positionV>
            <wp:extent cx="438785" cy="43878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a:fillRect/>
                    </a:stretch>
                  </pic:blipFill>
                  <pic:spPr>
                    <a:xfrm>
                      <a:off x="0" y="0"/>
                      <a:ext cx="438785" cy="438785"/>
                    </a:xfrm>
                    <a:prstGeom prst="rect">
                      <a:avLst/>
                    </a:prstGeom>
                  </pic:spPr>
                </pic:pic>
              </a:graphicData>
            </a:graphic>
          </wp:anchor>
        </w:drawing>
      </w:r>
      <w:r>
        <w:rPr>
          <w:noProof/>
          <w:lang w:val="ru-RU" w:eastAsia="ru-RU" w:bidi="ar-SA"/>
        </w:rPr>
        <w:drawing>
          <wp:anchor distT="0" distB="0" distL="0" distR="0" simplePos="0" relativeHeight="251655680" behindDoc="1" locked="0" layoutInCell="1" allowOverlap="1" wp14:anchorId="02ECA0A3" wp14:editId="0B3EF3DD">
            <wp:simplePos x="0" y="0"/>
            <wp:positionH relativeFrom="page">
              <wp:posOffset>6560820</wp:posOffset>
            </wp:positionH>
            <wp:positionV relativeFrom="margin">
              <wp:posOffset>-310515</wp:posOffset>
            </wp:positionV>
            <wp:extent cx="536575" cy="35369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a:fillRect/>
                    </a:stretch>
                  </pic:blipFill>
                  <pic:spPr>
                    <a:xfrm>
                      <a:off x="0" y="0"/>
                      <a:ext cx="536575" cy="353695"/>
                    </a:xfrm>
                    <a:prstGeom prst="rect">
                      <a:avLst/>
                    </a:prstGeom>
                  </pic:spPr>
                </pic:pic>
              </a:graphicData>
            </a:graphic>
          </wp:anchor>
        </w:drawing>
      </w:r>
    </w:p>
    <w:p w14:paraId="3C196069" w14:textId="77777777" w:rsidR="00D567C0" w:rsidRDefault="00D567C0">
      <w:pPr>
        <w:spacing w:line="1" w:lineRule="exact"/>
        <w:sectPr w:rsidR="00D567C0">
          <w:headerReference w:type="even" r:id="rId9"/>
          <w:headerReference w:type="default" r:id="rId10"/>
          <w:footerReference w:type="even" r:id="rId11"/>
          <w:footerReference w:type="default" r:id="rId12"/>
          <w:headerReference w:type="first" r:id="rId13"/>
          <w:footerReference w:type="first" r:id="rId14"/>
          <w:pgSz w:w="11900" w:h="16840"/>
          <w:pgMar w:top="1608" w:right="665" w:bottom="643" w:left="670" w:header="0" w:footer="3" w:gutter="0"/>
          <w:pgNumType w:start="1"/>
          <w:cols w:space="720"/>
          <w:noEndnote/>
          <w:titlePg/>
          <w:docGrid w:linePitch="360"/>
        </w:sectPr>
      </w:pPr>
    </w:p>
    <w:p w14:paraId="3494754F" w14:textId="77777777" w:rsidR="00D567C0" w:rsidRDefault="00D567C0">
      <w:pPr>
        <w:spacing w:line="139" w:lineRule="exact"/>
        <w:rPr>
          <w:sz w:val="11"/>
          <w:szCs w:val="11"/>
        </w:rPr>
      </w:pPr>
    </w:p>
    <w:p w14:paraId="3E653762" w14:textId="77777777" w:rsidR="00D567C0" w:rsidRDefault="00D567C0">
      <w:pPr>
        <w:spacing w:line="1" w:lineRule="exact"/>
        <w:sectPr w:rsidR="00D567C0">
          <w:type w:val="continuous"/>
          <w:pgSz w:w="11900" w:h="16840"/>
          <w:pgMar w:top="1748" w:right="0" w:bottom="1465" w:left="0" w:header="0" w:footer="3" w:gutter="0"/>
          <w:cols w:space="720"/>
          <w:noEndnote/>
          <w:docGrid w:linePitch="360"/>
        </w:sectPr>
      </w:pPr>
    </w:p>
    <w:p w14:paraId="4C0A82B8" w14:textId="77777777" w:rsidR="00D567C0" w:rsidRDefault="00F96AE2">
      <w:pPr>
        <w:spacing w:line="1" w:lineRule="exact"/>
      </w:pPr>
      <w:r>
        <w:rPr>
          <w:noProof/>
          <w:lang w:val="ru-RU" w:eastAsia="ru-RU" w:bidi="ar-SA"/>
        </w:rPr>
        <mc:AlternateContent>
          <mc:Choice Requires="wps">
            <w:drawing>
              <wp:anchor distT="0" distB="0" distL="114300" distR="114300" simplePos="0" relativeHeight="251657728" behindDoc="0" locked="0" layoutInCell="1" allowOverlap="1" wp14:anchorId="59DA4620" wp14:editId="6588A167">
                <wp:simplePos x="0" y="0"/>
                <wp:positionH relativeFrom="page">
                  <wp:posOffset>431800</wp:posOffset>
                </wp:positionH>
                <wp:positionV relativeFrom="paragraph">
                  <wp:posOffset>3931920</wp:posOffset>
                </wp:positionV>
                <wp:extent cx="1481455" cy="1539240"/>
                <wp:effectExtent l="0" t="0" r="0" b="0"/>
                <wp:wrapSquare wrapText="right"/>
                <wp:docPr id="16" name="Shape 16"/>
                <wp:cNvGraphicFramePr/>
                <a:graphic xmlns:a="http://schemas.openxmlformats.org/drawingml/2006/main">
                  <a:graphicData uri="http://schemas.microsoft.com/office/word/2010/wordprocessingShape">
                    <wps:wsp>
                      <wps:cNvSpPr txBox="1"/>
                      <wps:spPr>
                        <a:xfrm>
                          <a:off x="0" y="0"/>
                          <a:ext cx="1481455" cy="1539240"/>
                        </a:xfrm>
                        <a:prstGeom prst="rect">
                          <a:avLst/>
                        </a:prstGeom>
                        <a:noFill/>
                      </wps:spPr>
                      <wps:txbx>
                        <w:txbxContent>
                          <w:p w14:paraId="42177117" w14:textId="77777777" w:rsidR="00062B98" w:rsidRPr="00CE5466" w:rsidRDefault="00062B98" w:rsidP="00986F81">
                            <w:pPr>
                              <w:pStyle w:val="Bodytext20"/>
                              <w:spacing w:line="149" w:lineRule="atLeast"/>
                              <w:ind w:left="420" w:hanging="420"/>
                              <w:rPr>
                                <w:b/>
                              </w:rPr>
                            </w:pPr>
                          </w:p>
                          <w:p w14:paraId="185A529B" w14:textId="77777777" w:rsidR="00062B98" w:rsidRDefault="00062B98">
                            <w:pPr>
                              <w:pStyle w:val="Bodytext30"/>
                            </w:pPr>
                            <w:r>
                              <w:rPr>
                                <w:rStyle w:val="Bodytext3"/>
                                <w:b/>
                                <w:bCs/>
                                <w:lang w:val="ru-RU"/>
                              </w:rPr>
                              <w:t>Цитата</w:t>
                            </w:r>
                            <w:r w:rsidRPr="00CE5466">
                              <w:rPr>
                                <w:rStyle w:val="Bodytext3"/>
                                <w:b/>
                                <w:bCs/>
                              </w:rPr>
                              <w:t xml:space="preserve">: </w:t>
                            </w:r>
                            <w:r w:rsidRPr="00CE5466">
                              <w:rPr>
                                <w:rStyle w:val="Bodytext3"/>
                              </w:rPr>
                              <w:t xml:space="preserve">Jo, H.; Lee, D.; Go, C.; Jang, Y.; Bae, S.; Agura, T.; Hong, J.; Kang, D.; Kim, Y.; Kang, J.S. Alloferon Affects the Chemosensitivity of Pancreatic Cancer by Regulating the Expression of SLC6A14. </w:t>
                            </w:r>
                            <w:r w:rsidRPr="003730C9">
                              <w:rPr>
                                <w:rStyle w:val="Bodytext3"/>
                                <w:i/>
                                <w:iCs/>
                              </w:rPr>
                              <w:t xml:space="preserve">Biomedicines </w:t>
                            </w:r>
                            <w:r w:rsidRPr="003730C9">
                              <w:rPr>
                                <w:rStyle w:val="Bodytext3"/>
                                <w:b/>
                                <w:bCs/>
                              </w:rPr>
                              <w:t>2022</w:t>
                            </w:r>
                            <w:r w:rsidRPr="003730C9">
                              <w:rPr>
                                <w:rStyle w:val="Bodytext3"/>
                              </w:rPr>
                              <w:t xml:space="preserve">, </w:t>
                            </w:r>
                            <w:r w:rsidRPr="003730C9">
                              <w:rPr>
                                <w:rStyle w:val="Bodytext3"/>
                                <w:i/>
                                <w:iCs/>
                              </w:rPr>
                              <w:t>10</w:t>
                            </w:r>
                            <w:r w:rsidRPr="003730C9">
                              <w:rPr>
                                <w:rStyle w:val="Bodytext3"/>
                              </w:rPr>
                              <w:t>, 1113.</w:t>
                            </w:r>
                            <w:hyperlink r:id="rId15" w:history="1">
                              <w:r w:rsidRPr="003730C9">
                                <w:rPr>
                                  <w:rStyle w:val="Bodytext3"/>
                                </w:rPr>
                                <w:t xml:space="preserve"> https://doi.org/</w:t>
                              </w:r>
                            </w:hyperlink>
                            <w:r w:rsidRPr="003730C9">
                              <w:rPr>
                                <w:rStyle w:val="Bodytext3"/>
                              </w:rPr>
                              <w:t xml:space="preserve"> </w:t>
                            </w:r>
                            <w:hyperlink r:id="rId16" w:history="1">
                              <w:r w:rsidRPr="003730C9">
                                <w:rPr>
                                  <w:rStyle w:val="Bodytext3"/>
                                </w:rPr>
                                <w:t>10.3390/biomedicines10051113</w:t>
                              </w:r>
                            </w:hyperlink>
                          </w:p>
                        </w:txbxContent>
                      </wps:txbx>
                      <wps:bodyPr lIns="0" tIns="0" rIns="0" bIns="0"/>
                    </wps:wsp>
                  </a:graphicData>
                </a:graphic>
                <wp14:sizeRelV relativeFrom="margin">
                  <wp14:pctHeight>0</wp14:pctHeight>
                </wp14:sizeRelV>
              </wp:anchor>
            </w:drawing>
          </mc:Choice>
          <mc:Fallback>
            <w:pict>
              <v:shapetype w14:anchorId="59DA4620" id="_x0000_t202" coordsize="21600,21600" o:spt="202" path="m,l,21600r21600,l21600,xe">
                <v:stroke joinstyle="miter"/>
                <v:path gradientshapeok="t" o:connecttype="rect"/>
              </v:shapetype>
              <v:shape id="Shape 16" o:spid="_x0000_s1026" type="#_x0000_t202" style="position:absolute;margin-left:34pt;margin-top:309.6pt;width:116.65pt;height:121.2pt;z-index:2516577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" filled="f" stroked="f">
                <v:textbox inset="0,0,0,0">
                  <w:txbxContent>
                    <w:p w14:paraId="42177117" w14:textId="77777777" w:rsidR="00062B98" w:rsidRPr="00CE5466" w:rsidRDefault="00062B98" w:rsidP="00986F81">
                      <w:pPr>
                        <w:pStyle w:val="Bodytext20"/>
                        <w:spacing w:line="149" w:lineRule="atLeast"/>
                        <w:ind w:left="420" w:hanging="420"/>
                        <w:rPr>
                          <w:b/>
                        </w:rPr>
                      </w:pPr>
                    </w:p>
                    <w:p w14:paraId="185A529B" w14:textId="77777777" w:rsidR="00062B98" w:rsidRDefault="00062B98">
                      <w:pPr>
                        <w:pStyle w:val="Bodytext30"/>
                      </w:pPr>
                      <w:r>
                        <w:rPr>
                          <w:rStyle w:val="Bodytext3"/>
                          <w:b/>
                          <w:bCs/>
                          <w:lang w:val="ru-RU"/>
                        </w:rPr>
                        <w:t>Цитата</w:t>
                      </w:r>
                      <w:r w:rsidRPr="00CE5466">
                        <w:rPr>
                          <w:rStyle w:val="Bodytext3"/>
                          <w:b/>
                          <w:bCs/>
                        </w:rPr>
                        <w:t xml:space="preserve">: </w:t>
                      </w:r>
                      <w:r w:rsidRPr="00CE5466">
                        <w:rPr>
                          <w:rStyle w:val="Bodytext3"/>
                        </w:rPr>
                        <w:t xml:space="preserve">Jo, H.; Lee, D.; Go, C.; Jang, Y.; Bae, S.; Agura, T.; Hong, J.; Kang, D.; Kim, Y.; Kang, J.S. Alloferon Affects the Chemosensitivity of Pancreatic Cancer by Regulating the Expression of SLC6A14. </w:t>
                      </w:r>
                      <w:r w:rsidRPr="003730C9">
                        <w:rPr>
                          <w:rStyle w:val="Bodytext3"/>
                          <w:i/>
                          <w:iCs/>
                        </w:rPr>
                        <w:t xml:space="preserve">Biomedicines </w:t>
                      </w:r>
                      <w:r w:rsidRPr="003730C9">
                        <w:rPr>
                          <w:rStyle w:val="Bodytext3"/>
                          <w:b/>
                          <w:bCs/>
                        </w:rPr>
                        <w:t>2022</w:t>
                      </w:r>
                      <w:r w:rsidRPr="003730C9">
                        <w:rPr>
                          <w:rStyle w:val="Bodytext3"/>
                        </w:rPr>
                        <w:t xml:space="preserve">, </w:t>
                      </w:r>
                      <w:r w:rsidRPr="003730C9">
                        <w:rPr>
                          <w:rStyle w:val="Bodytext3"/>
                          <w:i/>
                          <w:iCs/>
                        </w:rPr>
                        <w:t>10</w:t>
                      </w:r>
                      <w:r w:rsidRPr="003730C9">
                        <w:rPr>
                          <w:rStyle w:val="Bodytext3"/>
                        </w:rPr>
                        <w:t>, 1113.</w:t>
                      </w:r>
                      <w:hyperlink r:id="rId17" w:history="1">
                        <w:r w:rsidRPr="003730C9">
                          <w:rPr>
                            <w:rStyle w:val="Bodytext3"/>
                          </w:rPr>
                          <w:t xml:space="preserve"> https://doi.org/</w:t>
                        </w:r>
                      </w:hyperlink>
                      <w:r w:rsidRPr="003730C9">
                        <w:rPr>
                          <w:rStyle w:val="Bodytext3"/>
                        </w:rPr>
                        <w:t xml:space="preserve"> </w:t>
                      </w:r>
                      <w:hyperlink r:id="rId18" w:history="1">
                        <w:r w:rsidRPr="003730C9">
                          <w:rPr>
                            <w:rStyle w:val="Bodytext3"/>
                          </w:rPr>
                          <w:t>10.3390/biomedicines10051113</w:t>
                        </w:r>
                      </w:hyperlink>
                    </w:p>
                  </w:txbxContent>
                </v:textbox>
                <w10:wrap type="square" side="right" anchorx="page"/>
              </v:shape>
            </w:pict>
          </mc:Fallback>
        </mc:AlternateContent>
      </w:r>
    </w:p>
    <w:p w14:paraId="2C9E9A23" w14:textId="31003380" w:rsidR="00B540A5" w:rsidRDefault="00B540A5">
      <w:pPr>
        <w:pStyle w:val="Bodytext10"/>
        <w:spacing w:after="0" w:line="240" w:lineRule="auto"/>
        <w:ind w:firstLine="0"/>
        <w:jc w:val="both"/>
        <w:rPr>
          <w:rStyle w:val="Bodytext1"/>
          <w:i/>
          <w:iCs/>
          <w:lang w:val="ru-RU"/>
        </w:rPr>
      </w:pPr>
      <w:r>
        <w:rPr>
          <w:rStyle w:val="Bodytext1"/>
          <w:i/>
          <w:iCs/>
          <w:lang w:val="ru-RU"/>
        </w:rPr>
        <w:t>Опу</w:t>
      </w:r>
      <w:r w:rsidR="00D65C57">
        <w:rPr>
          <w:rStyle w:val="Bodytext1"/>
          <w:i/>
          <w:iCs/>
          <w:lang w:val="ru-RU"/>
        </w:rPr>
        <w:t xml:space="preserve">бликовано в журнале </w:t>
      </w:r>
      <w:r w:rsidR="00D65C57">
        <w:rPr>
          <w:rStyle w:val="Bodytext1"/>
          <w:i/>
          <w:iCs/>
        </w:rPr>
        <w:t>BIOMEDICINES</w:t>
      </w:r>
      <w:r w:rsidR="00D65C57" w:rsidRPr="00D65C57">
        <w:rPr>
          <w:rStyle w:val="Bodytext1"/>
          <w:i/>
          <w:iCs/>
          <w:lang w:val="ru-RU"/>
        </w:rPr>
        <w:t xml:space="preserve"> </w:t>
      </w:r>
      <w:r w:rsidR="0087716A" w:rsidRPr="0087716A">
        <w:rPr>
          <w:rStyle w:val="Bodytext1"/>
          <w:i/>
          <w:iCs/>
          <w:lang w:val="ru-RU"/>
        </w:rPr>
        <w:t>Biomedicines 2022, 10, 1113</w:t>
      </w:r>
    </w:p>
    <w:p w14:paraId="0E674EC4" w14:textId="77777777" w:rsidR="00D65C57" w:rsidRPr="00D65C57" w:rsidRDefault="00D65C57">
      <w:pPr>
        <w:pStyle w:val="Bodytext10"/>
        <w:spacing w:after="0" w:line="240" w:lineRule="auto"/>
        <w:ind w:firstLine="0"/>
        <w:jc w:val="both"/>
        <w:rPr>
          <w:rStyle w:val="Bodytext1"/>
          <w:i/>
          <w:iCs/>
          <w:lang w:val="ru-RU"/>
        </w:rPr>
      </w:pPr>
    </w:p>
    <w:p w14:paraId="4A4597B2" w14:textId="2C457040" w:rsidR="00D567C0" w:rsidRDefault="00F96AE2">
      <w:pPr>
        <w:pStyle w:val="Bodytext10"/>
        <w:spacing w:after="0" w:line="240" w:lineRule="auto"/>
        <w:ind w:firstLine="0"/>
        <w:jc w:val="both"/>
        <w:rPr>
          <w:rStyle w:val="Bodytext1"/>
          <w:b/>
          <w:bCs/>
          <w:i/>
          <w:iCs/>
          <w:lang w:val="ru-RU"/>
        </w:rPr>
      </w:pPr>
      <w:r w:rsidRPr="00D65C57">
        <w:rPr>
          <w:rStyle w:val="Bodytext1"/>
          <w:b/>
          <w:bCs/>
          <w:i/>
          <w:iCs/>
          <w:lang w:val="ru-RU"/>
        </w:rPr>
        <w:t>Статья</w:t>
      </w:r>
    </w:p>
    <w:p w14:paraId="7EEFFFD1" w14:textId="77777777" w:rsidR="00D65C57" w:rsidRPr="00D65C57" w:rsidRDefault="00D65C57">
      <w:pPr>
        <w:pStyle w:val="Bodytext10"/>
        <w:spacing w:after="0" w:line="240" w:lineRule="auto"/>
        <w:ind w:firstLine="0"/>
        <w:jc w:val="both"/>
        <w:rPr>
          <w:b/>
          <w:bCs/>
          <w:lang w:val="ru-RU"/>
        </w:rPr>
      </w:pPr>
    </w:p>
    <w:p w14:paraId="6AD9731C" w14:textId="77777777" w:rsidR="00D567C0" w:rsidRPr="00223252" w:rsidRDefault="00F96AE2" w:rsidP="003C1FB7">
      <w:pPr>
        <w:pStyle w:val="Bodytext50"/>
        <w:spacing w:after="0"/>
        <w:rPr>
          <w:lang w:val="ru-RU"/>
        </w:rPr>
      </w:pPr>
      <w:r>
        <w:rPr>
          <w:rStyle w:val="Bodytext5"/>
          <w:b/>
          <w:bCs/>
          <w:lang w:val="ru-RU"/>
        </w:rPr>
        <w:t xml:space="preserve">Аллоферон влияет на химиочувствительность рака поджелудочной железы </w:t>
      </w:r>
      <w:r w:rsidR="004E1AD5">
        <w:rPr>
          <w:rStyle w:val="Bodytext5"/>
          <w:b/>
          <w:bCs/>
          <w:lang w:val="ru-RU"/>
        </w:rPr>
        <w:t>посредством</w:t>
      </w:r>
      <w:r w:rsidR="004E1AD5" w:rsidRPr="004E1AD5">
        <w:rPr>
          <w:rStyle w:val="Bodytext5"/>
          <w:b/>
          <w:bCs/>
          <w:lang w:val="ru-RU"/>
        </w:rPr>
        <w:t xml:space="preserve"> </w:t>
      </w:r>
      <w:r>
        <w:rPr>
          <w:rStyle w:val="Bodytext5"/>
          <w:b/>
          <w:bCs/>
          <w:lang w:val="ru-RU"/>
        </w:rPr>
        <w:t>регуляции экспрессии LC6A14</w:t>
      </w:r>
    </w:p>
    <w:p w14:paraId="3321E525" w14:textId="77777777" w:rsidR="00D567C0" w:rsidRPr="00CE5466" w:rsidRDefault="00F96AE2">
      <w:pPr>
        <w:pStyle w:val="Bodytext10"/>
        <w:spacing w:after="0" w:line="240" w:lineRule="auto"/>
        <w:ind w:firstLine="0"/>
        <w:jc w:val="both"/>
      </w:pPr>
      <w:r w:rsidRPr="00CE5466">
        <w:rPr>
          <w:rStyle w:val="Bodytext1"/>
          <w:b/>
          <w:bCs/>
        </w:rPr>
        <w:t xml:space="preserve">Hyejung Jo </w:t>
      </w:r>
      <w:r w:rsidRPr="00CE5466">
        <w:rPr>
          <w:rStyle w:val="Bodytext1"/>
          <w:b/>
          <w:bCs/>
          <w:vertAlign w:val="superscript"/>
        </w:rPr>
        <w:t>1</w:t>
      </w:r>
      <w:r w:rsidRPr="00CE5466">
        <w:rPr>
          <w:rStyle w:val="Bodytext1"/>
          <w:b/>
          <w:bCs/>
        </w:rPr>
        <w:t xml:space="preserve">, Dahae Lee </w:t>
      </w:r>
      <w:r w:rsidRPr="00CE5466">
        <w:rPr>
          <w:rStyle w:val="Bodytext1"/>
          <w:b/>
          <w:bCs/>
          <w:vertAlign w:val="superscript"/>
        </w:rPr>
        <w:t>1</w:t>
      </w:r>
      <w:r w:rsidRPr="00CE5466">
        <w:rPr>
          <w:rStyle w:val="Bodytext1"/>
          <w:b/>
          <w:bCs/>
        </w:rPr>
        <w:t xml:space="preserve">, Cheolhyeon Go </w:t>
      </w:r>
      <w:r w:rsidRPr="00CE5466">
        <w:rPr>
          <w:rStyle w:val="Bodytext1"/>
          <w:b/>
          <w:bCs/>
          <w:vertAlign w:val="superscript"/>
        </w:rPr>
        <w:t>1</w:t>
      </w:r>
      <w:hyperlink r:id="rId19" w:history="1">
        <w:r w:rsidRPr="00CE5466">
          <w:rPr>
            <w:rStyle w:val="Bodytext1"/>
            <w:b/>
            <w:bCs/>
          </w:rPr>
          <w:t>,</w:t>
        </w:r>
      </w:hyperlink>
      <w:r w:rsidRPr="00CE5466">
        <w:rPr>
          <w:rStyle w:val="Bodytext1"/>
          <w:b/>
          <w:bCs/>
        </w:rPr>
        <w:t xml:space="preserve"> Yoojin Jang </w:t>
      </w:r>
      <w:r w:rsidRPr="00CE5466">
        <w:rPr>
          <w:rStyle w:val="Bodytext1"/>
          <w:b/>
          <w:bCs/>
          <w:vertAlign w:val="superscript"/>
        </w:rPr>
        <w:t>1</w:t>
      </w:r>
      <w:r w:rsidRPr="00CE5466">
        <w:rPr>
          <w:rStyle w:val="Bodytext1"/>
          <w:b/>
          <w:bCs/>
        </w:rPr>
        <w:t xml:space="preserve">, Suhyun Bae </w:t>
      </w:r>
      <w:r w:rsidRPr="00CE5466">
        <w:rPr>
          <w:rStyle w:val="Bodytext1"/>
          <w:b/>
          <w:bCs/>
          <w:vertAlign w:val="superscript"/>
        </w:rPr>
        <w:t>1</w:t>
      </w:r>
      <w:r w:rsidRPr="00CE5466">
        <w:rPr>
          <w:rStyle w:val="Bodytext1"/>
          <w:b/>
          <w:bCs/>
        </w:rPr>
        <w:t xml:space="preserve">, Tomoyo Agura </w:t>
      </w:r>
      <w:r w:rsidRPr="00CE5466">
        <w:rPr>
          <w:rStyle w:val="Bodytext1"/>
          <w:b/>
          <w:bCs/>
          <w:vertAlign w:val="superscript"/>
        </w:rPr>
        <w:t>1</w:t>
      </w:r>
      <w:r w:rsidRPr="00CE5466">
        <w:rPr>
          <w:rStyle w:val="Bodytext1"/>
          <w:b/>
          <w:bCs/>
        </w:rPr>
        <w:t xml:space="preserve">, Jiye Hong </w:t>
      </w:r>
      <w:r w:rsidRPr="00CE5466">
        <w:rPr>
          <w:rStyle w:val="Bodytext1"/>
          <w:b/>
          <w:bCs/>
          <w:vertAlign w:val="superscript"/>
        </w:rPr>
        <w:t>1</w:t>
      </w:r>
      <w:r w:rsidRPr="00CE5466">
        <w:rPr>
          <w:rStyle w:val="Bodytext1"/>
          <w:b/>
          <w:bCs/>
        </w:rPr>
        <w:t>,</w:t>
      </w:r>
    </w:p>
    <w:p w14:paraId="36608C8A" w14:textId="77777777" w:rsidR="00D567C0" w:rsidRDefault="00F96AE2">
      <w:pPr>
        <w:pStyle w:val="Bodytext10"/>
        <w:spacing w:after="420" w:line="240" w:lineRule="auto"/>
        <w:ind w:firstLine="0"/>
        <w:jc w:val="both"/>
      </w:pPr>
      <w:r w:rsidRPr="00223252">
        <w:rPr>
          <w:rStyle w:val="Bodytext1"/>
          <w:b/>
          <w:bCs/>
        </w:rPr>
        <w:t xml:space="preserve">Dongmin Kang </w:t>
      </w:r>
      <w:r w:rsidRPr="00223252">
        <w:rPr>
          <w:rStyle w:val="Bodytext1"/>
          <w:b/>
          <w:bCs/>
          <w:vertAlign w:val="superscript"/>
        </w:rPr>
        <w:t>2</w:t>
      </w:r>
      <w:r w:rsidRPr="00223252">
        <w:rPr>
          <w:rStyle w:val="Bodytext1"/>
          <w:b/>
          <w:bCs/>
        </w:rPr>
        <w:t xml:space="preserve">, Yejin Kim </w:t>
      </w:r>
      <w:r w:rsidRPr="00223252">
        <w:rPr>
          <w:rStyle w:val="Bodytext1"/>
          <w:b/>
          <w:bCs/>
          <w:vertAlign w:val="superscript"/>
        </w:rPr>
        <w:t>1,3,</w:t>
      </w:r>
      <w:r w:rsidRPr="00223252">
        <w:rPr>
          <w:rStyle w:val="Bodytext1"/>
          <w:b/>
          <w:bCs/>
        </w:rPr>
        <w:t xml:space="preserve">* and Jae Seung Kang </w:t>
      </w:r>
      <w:r w:rsidRPr="00223252">
        <w:rPr>
          <w:rStyle w:val="Bodytext1"/>
          <w:b/>
          <w:bCs/>
          <w:vertAlign w:val="superscript"/>
        </w:rPr>
        <w:t>1,3,</w:t>
      </w:r>
      <w:r w:rsidR="00CE5466" w:rsidRPr="00CE5466">
        <w:rPr>
          <w:rStyle w:val="Bodytext1"/>
          <w:b/>
          <w:bCs/>
        </w:rPr>
        <w:t>*</w:t>
      </w:r>
      <w:r w:rsidR="00CE5466">
        <w:t xml:space="preserve"> </w:t>
      </w:r>
    </w:p>
    <w:p w14:paraId="23727997" w14:textId="48FBFDBC" w:rsidR="003C3170" w:rsidRPr="00221F12" w:rsidRDefault="00221F12" w:rsidP="00B540A5">
      <w:pPr>
        <w:tabs>
          <w:tab w:val="left" w:pos="2904"/>
        </w:tabs>
        <w:spacing w:before="40"/>
        <w:ind w:left="2552"/>
        <w:rPr>
          <w:rFonts w:ascii="Arial" w:eastAsia="Arial" w:hAnsi="Arial" w:cs="Arial"/>
          <w:color w:val="auto"/>
          <w:sz w:val="14"/>
          <w:szCs w:val="14"/>
          <w:lang w:val="ru-RU"/>
        </w:rPr>
      </w:pPr>
      <w:r w:rsidRPr="00221F12">
        <w:rPr>
          <w:rFonts w:ascii="Arial" w:eastAsia="Arial" w:hAnsi="Arial" w:cs="Arial"/>
          <w:color w:val="auto"/>
          <w:sz w:val="14"/>
          <w:szCs w:val="14"/>
          <w:lang w:val="ru-RU"/>
        </w:rPr>
        <w:t xml:space="preserve">1. </w:t>
      </w:r>
      <w:r>
        <w:rPr>
          <w:rFonts w:ascii="Arial" w:eastAsia="Arial" w:hAnsi="Arial" w:cs="Arial"/>
          <w:color w:val="auto"/>
          <w:sz w:val="14"/>
          <w:szCs w:val="14"/>
          <w:lang w:val="ru-RU"/>
        </w:rPr>
        <w:t xml:space="preserve">     </w:t>
      </w:r>
      <w:r w:rsidR="003C3170" w:rsidRPr="00221F12">
        <w:rPr>
          <w:rFonts w:ascii="Arial" w:eastAsia="Arial" w:hAnsi="Arial" w:cs="Arial"/>
          <w:color w:val="auto"/>
          <w:sz w:val="14"/>
          <w:szCs w:val="14"/>
          <w:lang w:val="ru-RU"/>
        </w:rPr>
        <w:t xml:space="preserve">Лаборатория витамина С и антиоксидантной иммунологии, кафедра анатомии и клеточной биологии, Медицинский колледж Сеульского национального университета, Сеул 03080, Корея; </w:t>
      </w:r>
      <w:r w:rsidR="003C3170" w:rsidRPr="00221F12">
        <w:rPr>
          <w:rFonts w:ascii="Arial" w:eastAsia="Arial" w:hAnsi="Arial" w:cs="Arial"/>
          <w:color w:val="auto"/>
          <w:sz w:val="14"/>
          <w:szCs w:val="14"/>
        </w:rPr>
        <w:t>luv</w:t>
      </w:r>
      <w:r w:rsidR="003C3170" w:rsidRPr="00221F12">
        <w:rPr>
          <w:rFonts w:ascii="Arial" w:eastAsia="Arial" w:hAnsi="Arial" w:cs="Arial"/>
          <w:color w:val="auto"/>
          <w:sz w:val="14"/>
          <w:szCs w:val="14"/>
          <w:lang w:val="ru-RU"/>
        </w:rPr>
        <w:t>_</w:t>
      </w:r>
      <w:r w:rsidR="003C3170" w:rsidRPr="00221F12">
        <w:rPr>
          <w:rFonts w:ascii="Arial" w:eastAsia="Arial" w:hAnsi="Arial" w:cs="Arial"/>
          <w:color w:val="auto"/>
          <w:sz w:val="14"/>
          <w:szCs w:val="14"/>
        </w:rPr>
        <w:t>jo</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snu</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ac</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kr</w:t>
      </w:r>
      <w:r w:rsidR="003C3170" w:rsidRPr="00221F12">
        <w:rPr>
          <w:rFonts w:ascii="Arial" w:eastAsia="Arial" w:hAnsi="Arial" w:cs="Arial"/>
          <w:color w:val="auto"/>
          <w:sz w:val="14"/>
          <w:szCs w:val="14"/>
          <w:lang w:val="ru-RU"/>
        </w:rPr>
        <w:t xml:space="preserve"> (</w:t>
      </w:r>
      <w:r w:rsidR="003C3170" w:rsidRPr="00221F12">
        <w:rPr>
          <w:rFonts w:ascii="Arial" w:eastAsia="Arial" w:hAnsi="Arial" w:cs="Arial"/>
          <w:color w:val="auto"/>
          <w:sz w:val="14"/>
          <w:szCs w:val="14"/>
        </w:rPr>
        <w:t>H</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J</w:t>
      </w:r>
      <w:r w:rsidR="003C3170" w:rsidRPr="00221F12">
        <w:rPr>
          <w:rFonts w:ascii="Arial" w:eastAsia="Arial" w:hAnsi="Arial" w:cs="Arial"/>
          <w:color w:val="auto"/>
          <w:sz w:val="14"/>
          <w:szCs w:val="14"/>
          <w:lang w:val="ru-RU"/>
        </w:rPr>
        <w:t>.);</w:t>
      </w:r>
    </w:p>
    <w:p w14:paraId="79AF4D00" w14:textId="77777777" w:rsidR="003C3170" w:rsidRPr="00221F12" w:rsidRDefault="00000000" w:rsidP="00B540A5">
      <w:pPr>
        <w:spacing w:line="322" w:lineRule="auto"/>
        <w:ind w:left="2552"/>
        <w:rPr>
          <w:rFonts w:ascii="Arial" w:eastAsia="Arial" w:hAnsi="Arial" w:cs="Arial"/>
          <w:color w:val="auto"/>
          <w:sz w:val="14"/>
          <w:szCs w:val="14"/>
          <w:lang w:val="ru-RU"/>
        </w:rPr>
      </w:pPr>
      <w:hyperlink r:id="rId20" w:history="1">
        <w:r w:rsidR="003C3170" w:rsidRPr="00221F12">
          <w:rPr>
            <w:rFonts w:ascii="Arial" w:eastAsia="Arial" w:hAnsi="Arial" w:cs="Arial"/>
            <w:color w:val="auto"/>
            <w:sz w:val="14"/>
            <w:szCs w:val="14"/>
          </w:rPr>
          <w:t>ddhh</w:t>
        </w:r>
        <w:r w:rsidR="003C3170" w:rsidRPr="00221F12">
          <w:rPr>
            <w:rFonts w:ascii="Arial" w:eastAsia="Arial" w:hAnsi="Arial" w:cs="Arial"/>
            <w:color w:val="auto"/>
            <w:sz w:val="14"/>
            <w:szCs w:val="14"/>
            <w:lang w:val="ru-RU"/>
          </w:rPr>
          <w:t>12345@</w:t>
        </w:r>
        <w:r w:rsidR="003C3170" w:rsidRPr="00221F12">
          <w:rPr>
            <w:rFonts w:ascii="Arial" w:eastAsia="Arial" w:hAnsi="Arial" w:cs="Arial"/>
            <w:color w:val="auto"/>
            <w:sz w:val="14"/>
            <w:szCs w:val="14"/>
          </w:rPr>
          <w:t>snu</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ac</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kr</w:t>
        </w:r>
      </w:hyperlink>
      <w:r w:rsidR="003C3170" w:rsidRPr="00221F12">
        <w:rPr>
          <w:rFonts w:ascii="Arial" w:eastAsia="Arial" w:hAnsi="Arial" w:cs="Arial"/>
          <w:color w:val="auto"/>
          <w:sz w:val="14"/>
          <w:szCs w:val="14"/>
          <w:lang w:val="ru-RU"/>
        </w:rPr>
        <w:t xml:space="preserve"> (</w:t>
      </w:r>
      <w:r w:rsidR="003C3170" w:rsidRPr="00221F12">
        <w:rPr>
          <w:rFonts w:ascii="Arial" w:eastAsia="Arial" w:hAnsi="Arial" w:cs="Arial"/>
          <w:color w:val="auto"/>
          <w:sz w:val="14"/>
          <w:szCs w:val="14"/>
        </w:rPr>
        <w:t>D</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L</w:t>
      </w:r>
      <w:r w:rsidR="003C3170" w:rsidRPr="00221F12">
        <w:rPr>
          <w:rFonts w:ascii="Arial" w:eastAsia="Arial" w:hAnsi="Arial" w:cs="Arial"/>
          <w:color w:val="auto"/>
          <w:sz w:val="14"/>
          <w:szCs w:val="14"/>
          <w:lang w:val="ru-RU"/>
        </w:rPr>
        <w:t xml:space="preserve">.); </w:t>
      </w:r>
      <w:hyperlink r:id="rId21" w:history="1">
        <w:r w:rsidR="003C3170" w:rsidRPr="00221F12">
          <w:rPr>
            <w:rFonts w:ascii="Arial" w:eastAsia="Arial" w:hAnsi="Arial" w:cs="Arial"/>
            <w:color w:val="auto"/>
            <w:sz w:val="14"/>
            <w:szCs w:val="14"/>
          </w:rPr>
          <w:t>rhcjfgus</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snu</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ac</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kr</w:t>
        </w:r>
      </w:hyperlink>
      <w:r w:rsidR="003C3170" w:rsidRPr="00221F12">
        <w:rPr>
          <w:rFonts w:ascii="Arial" w:eastAsia="Arial" w:hAnsi="Arial" w:cs="Arial"/>
          <w:color w:val="auto"/>
          <w:sz w:val="14"/>
          <w:szCs w:val="14"/>
          <w:lang w:val="ru-RU"/>
        </w:rPr>
        <w:t xml:space="preserve"> (</w:t>
      </w:r>
      <w:r w:rsidR="003C3170" w:rsidRPr="00221F12">
        <w:rPr>
          <w:rFonts w:ascii="Arial" w:eastAsia="Arial" w:hAnsi="Arial" w:cs="Arial"/>
          <w:color w:val="auto"/>
          <w:sz w:val="14"/>
          <w:szCs w:val="14"/>
        </w:rPr>
        <w:t>C</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G</w:t>
      </w:r>
      <w:r w:rsidR="003C3170" w:rsidRPr="00221F12">
        <w:rPr>
          <w:rFonts w:ascii="Arial" w:eastAsia="Arial" w:hAnsi="Arial" w:cs="Arial"/>
          <w:color w:val="auto"/>
          <w:sz w:val="14"/>
          <w:szCs w:val="14"/>
          <w:lang w:val="ru-RU"/>
        </w:rPr>
        <w:t xml:space="preserve">.); </w:t>
      </w:r>
      <w:hyperlink r:id="rId22" w:history="1">
        <w:r w:rsidR="003C3170" w:rsidRPr="00221F12">
          <w:rPr>
            <w:rFonts w:ascii="Arial" w:eastAsia="Arial" w:hAnsi="Arial" w:cs="Arial"/>
            <w:color w:val="auto"/>
            <w:sz w:val="14"/>
            <w:szCs w:val="14"/>
          </w:rPr>
          <w:t>pierce</w:t>
        </w:r>
        <w:r w:rsidR="003C3170" w:rsidRPr="00221F12">
          <w:rPr>
            <w:rFonts w:ascii="Arial" w:eastAsia="Arial" w:hAnsi="Arial" w:cs="Arial"/>
            <w:color w:val="auto"/>
            <w:sz w:val="14"/>
            <w:szCs w:val="14"/>
            <w:lang w:val="ru-RU"/>
          </w:rPr>
          <w:t>52@</w:t>
        </w:r>
        <w:r w:rsidR="003C3170" w:rsidRPr="00221F12">
          <w:rPr>
            <w:rFonts w:ascii="Arial" w:eastAsia="Arial" w:hAnsi="Arial" w:cs="Arial"/>
            <w:color w:val="auto"/>
            <w:sz w:val="14"/>
            <w:szCs w:val="14"/>
          </w:rPr>
          <w:t>snu</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ac</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kr</w:t>
        </w:r>
      </w:hyperlink>
      <w:r w:rsidR="003C3170" w:rsidRPr="00221F12">
        <w:rPr>
          <w:rFonts w:ascii="Arial" w:eastAsia="Arial" w:hAnsi="Arial" w:cs="Arial"/>
          <w:color w:val="auto"/>
          <w:sz w:val="14"/>
          <w:szCs w:val="14"/>
          <w:lang w:val="ru-RU"/>
        </w:rPr>
        <w:t xml:space="preserve"> (</w:t>
      </w:r>
      <w:r w:rsidR="003C3170" w:rsidRPr="00221F12">
        <w:rPr>
          <w:rFonts w:ascii="Arial" w:eastAsia="Arial" w:hAnsi="Arial" w:cs="Arial"/>
          <w:color w:val="auto"/>
          <w:sz w:val="14"/>
          <w:szCs w:val="14"/>
        </w:rPr>
        <w:t>Y</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J</w:t>
      </w:r>
      <w:r w:rsidR="003C3170" w:rsidRPr="00221F12">
        <w:rPr>
          <w:rFonts w:ascii="Arial" w:eastAsia="Arial" w:hAnsi="Arial" w:cs="Arial"/>
          <w:color w:val="auto"/>
          <w:sz w:val="14"/>
          <w:szCs w:val="14"/>
          <w:lang w:val="ru-RU"/>
        </w:rPr>
        <w:t xml:space="preserve">.); </w:t>
      </w:r>
      <w:hyperlink r:id="rId23" w:history="1">
        <w:r w:rsidR="003C3170" w:rsidRPr="00221F12">
          <w:rPr>
            <w:rFonts w:ascii="Arial" w:eastAsia="Arial" w:hAnsi="Arial" w:cs="Arial"/>
            <w:color w:val="auto"/>
            <w:sz w:val="14"/>
            <w:szCs w:val="14"/>
          </w:rPr>
          <w:t>baesh</w:t>
        </w:r>
        <w:r w:rsidR="003C3170" w:rsidRPr="00221F12">
          <w:rPr>
            <w:rFonts w:ascii="Arial" w:eastAsia="Arial" w:hAnsi="Arial" w:cs="Arial"/>
            <w:color w:val="auto"/>
            <w:sz w:val="14"/>
            <w:szCs w:val="14"/>
            <w:lang w:val="ru-RU"/>
          </w:rPr>
          <w:t>9706@</w:t>
        </w:r>
        <w:r w:rsidR="003C3170" w:rsidRPr="00221F12">
          <w:rPr>
            <w:rFonts w:ascii="Arial" w:eastAsia="Arial" w:hAnsi="Arial" w:cs="Arial"/>
            <w:color w:val="auto"/>
            <w:sz w:val="14"/>
            <w:szCs w:val="14"/>
          </w:rPr>
          <w:t>snu</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ac</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kr</w:t>
        </w:r>
      </w:hyperlink>
      <w:r w:rsidR="003C3170" w:rsidRPr="00221F12">
        <w:rPr>
          <w:rFonts w:ascii="Arial" w:eastAsia="Arial" w:hAnsi="Arial" w:cs="Arial"/>
          <w:color w:val="auto"/>
          <w:sz w:val="14"/>
          <w:szCs w:val="14"/>
          <w:lang w:val="ru-RU"/>
        </w:rPr>
        <w:t xml:space="preserve"> (</w:t>
      </w:r>
      <w:r w:rsidR="003C3170" w:rsidRPr="00221F12">
        <w:rPr>
          <w:rFonts w:ascii="Arial" w:eastAsia="Arial" w:hAnsi="Arial" w:cs="Arial"/>
          <w:color w:val="auto"/>
          <w:sz w:val="14"/>
          <w:szCs w:val="14"/>
        </w:rPr>
        <w:t>S</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B</w:t>
      </w:r>
      <w:r w:rsidR="003C3170" w:rsidRPr="00221F12">
        <w:rPr>
          <w:rFonts w:ascii="Arial" w:eastAsia="Arial" w:hAnsi="Arial" w:cs="Arial"/>
          <w:color w:val="auto"/>
          <w:sz w:val="14"/>
          <w:szCs w:val="14"/>
          <w:lang w:val="ru-RU"/>
        </w:rPr>
        <w:t>.);</w:t>
      </w:r>
    </w:p>
    <w:p w14:paraId="5529ED36" w14:textId="3B02550F" w:rsidR="003C3170" w:rsidRPr="00221F12" w:rsidRDefault="00000000" w:rsidP="00B540A5">
      <w:pPr>
        <w:spacing w:line="322" w:lineRule="auto"/>
        <w:ind w:left="2552"/>
        <w:rPr>
          <w:rFonts w:ascii="Arial" w:eastAsia="Arial" w:hAnsi="Arial" w:cs="Arial"/>
          <w:color w:val="auto"/>
          <w:sz w:val="14"/>
          <w:szCs w:val="14"/>
        </w:rPr>
      </w:pPr>
      <w:hyperlink r:id="rId24" w:history="1">
        <w:r w:rsidR="003C3170" w:rsidRPr="00221F12">
          <w:rPr>
            <w:rFonts w:ascii="Arial" w:eastAsia="Arial" w:hAnsi="Arial" w:cs="Arial"/>
            <w:color w:val="auto"/>
            <w:sz w:val="14"/>
            <w:szCs w:val="14"/>
          </w:rPr>
          <w:t>tomoyoagura@gmail.com</w:t>
        </w:r>
      </w:hyperlink>
      <w:r w:rsidR="003C3170" w:rsidRPr="00221F12">
        <w:rPr>
          <w:rFonts w:ascii="Arial" w:eastAsia="Arial" w:hAnsi="Arial" w:cs="Arial"/>
          <w:color w:val="auto"/>
          <w:sz w:val="14"/>
          <w:szCs w:val="14"/>
        </w:rPr>
        <w:t xml:space="preserve"> (T.A.); </w:t>
      </w:r>
      <w:hyperlink r:id="rId25" w:history="1">
        <w:r w:rsidR="003C3170" w:rsidRPr="00221F12">
          <w:rPr>
            <w:rFonts w:ascii="Arial" w:eastAsia="Arial" w:hAnsi="Arial" w:cs="Arial"/>
            <w:color w:val="auto"/>
            <w:sz w:val="14"/>
            <w:szCs w:val="14"/>
          </w:rPr>
          <w:t>carpediem0912@naver.com</w:t>
        </w:r>
      </w:hyperlink>
      <w:r w:rsidR="003C3170" w:rsidRPr="00221F12">
        <w:rPr>
          <w:rFonts w:ascii="Arial" w:eastAsia="Arial" w:hAnsi="Arial" w:cs="Arial"/>
          <w:color w:val="auto"/>
          <w:sz w:val="14"/>
          <w:szCs w:val="14"/>
        </w:rPr>
        <w:t xml:space="preserve"> (J.H.)</w:t>
      </w:r>
      <w:r w:rsidR="00221F12" w:rsidRPr="00221F12">
        <w:rPr>
          <w:rFonts w:ascii="Arial" w:eastAsia="Arial" w:hAnsi="Arial" w:cs="Arial"/>
          <w:color w:val="auto"/>
          <w:sz w:val="14"/>
          <w:szCs w:val="14"/>
        </w:rPr>
        <w:t>.</w:t>
      </w:r>
    </w:p>
    <w:p w14:paraId="224DA3AF" w14:textId="47C3ADAF" w:rsidR="00221F12" w:rsidRPr="00221F12" w:rsidRDefault="00221F12" w:rsidP="00B540A5">
      <w:pPr>
        <w:pStyle w:val="Bodytext40"/>
        <w:numPr>
          <w:ilvl w:val="0"/>
          <w:numId w:val="12"/>
        </w:numPr>
        <w:tabs>
          <w:tab w:val="left" w:pos="2904"/>
        </w:tabs>
        <w:ind w:left="2552" w:firstLine="0"/>
      </w:pPr>
      <w:r w:rsidRPr="00221F12">
        <w:rPr>
          <w:rStyle w:val="Bodytext4"/>
        </w:rPr>
        <w:t xml:space="preserve">Laboratory of Vitamin C and Antioxidant Immunology, Department of Anatomy and Cell Biology, Seoul National University College of Medicine, Seoul 03080, Korea; </w:t>
      </w:r>
      <w:hyperlink r:id="rId26" w:history="1">
        <w:r w:rsidRPr="00221F12">
          <w:rPr>
            <w:rStyle w:val="Bodytext4"/>
          </w:rPr>
          <w:t>luv_jo@snu.ac.kr</w:t>
        </w:r>
      </w:hyperlink>
      <w:r w:rsidRPr="00221F12">
        <w:rPr>
          <w:rStyle w:val="Bodytext4"/>
        </w:rPr>
        <w:t xml:space="preserve"> (H.J.);</w:t>
      </w:r>
    </w:p>
    <w:p w14:paraId="178D29BF" w14:textId="77777777" w:rsidR="00221F12" w:rsidRPr="00221F12" w:rsidRDefault="00000000" w:rsidP="00B540A5">
      <w:pPr>
        <w:pStyle w:val="Bodytext40"/>
        <w:ind w:left="2552" w:firstLine="0"/>
      </w:pPr>
      <w:hyperlink r:id="rId27" w:history="1">
        <w:r w:rsidR="00221F12" w:rsidRPr="00221F12">
          <w:rPr>
            <w:rStyle w:val="Bodytext4"/>
          </w:rPr>
          <w:t>ddhh12345@snu.ac.kr</w:t>
        </w:r>
      </w:hyperlink>
      <w:r w:rsidR="00221F12" w:rsidRPr="00221F12">
        <w:rPr>
          <w:rStyle w:val="Bodytext4"/>
        </w:rPr>
        <w:t xml:space="preserve"> (D.L.); </w:t>
      </w:r>
      <w:hyperlink r:id="rId28" w:history="1">
        <w:r w:rsidR="00221F12" w:rsidRPr="00221F12">
          <w:rPr>
            <w:rStyle w:val="Bodytext4"/>
          </w:rPr>
          <w:t>rhcjfgus@snu.ac.kr</w:t>
        </w:r>
      </w:hyperlink>
      <w:r w:rsidR="00221F12" w:rsidRPr="00221F12">
        <w:rPr>
          <w:rStyle w:val="Bodytext4"/>
        </w:rPr>
        <w:t xml:space="preserve"> (C.G.); </w:t>
      </w:r>
      <w:hyperlink r:id="rId29" w:history="1">
        <w:r w:rsidR="00221F12" w:rsidRPr="00221F12">
          <w:rPr>
            <w:rStyle w:val="Bodytext4"/>
          </w:rPr>
          <w:t>pierce52@snu.ac.kr</w:t>
        </w:r>
      </w:hyperlink>
      <w:r w:rsidR="00221F12" w:rsidRPr="00221F12">
        <w:rPr>
          <w:rStyle w:val="Bodytext4"/>
        </w:rPr>
        <w:t xml:space="preserve"> (Y.J.); </w:t>
      </w:r>
      <w:hyperlink r:id="rId30" w:history="1">
        <w:r w:rsidR="00221F12" w:rsidRPr="00221F12">
          <w:rPr>
            <w:rStyle w:val="Bodytext4"/>
          </w:rPr>
          <w:t>baesh9706@snu.ac.kr</w:t>
        </w:r>
      </w:hyperlink>
      <w:r w:rsidR="00221F12" w:rsidRPr="00221F12">
        <w:rPr>
          <w:rStyle w:val="Bodytext4"/>
        </w:rPr>
        <w:t xml:space="preserve"> (S.B.);</w:t>
      </w:r>
    </w:p>
    <w:p w14:paraId="1D874E91" w14:textId="130B0B83" w:rsidR="00221F12" w:rsidRPr="00B540A5" w:rsidRDefault="00000000" w:rsidP="00B540A5">
      <w:pPr>
        <w:pStyle w:val="Bodytext40"/>
        <w:ind w:left="2552" w:firstLine="0"/>
      </w:pPr>
      <w:hyperlink r:id="rId31" w:history="1">
        <w:r w:rsidR="00221F12" w:rsidRPr="00221F12">
          <w:rPr>
            <w:rStyle w:val="Bodytext4"/>
          </w:rPr>
          <w:t>tomoyoagura@gmail.com</w:t>
        </w:r>
      </w:hyperlink>
      <w:r w:rsidR="00221F12" w:rsidRPr="00221F12">
        <w:rPr>
          <w:rStyle w:val="Bodytext4"/>
        </w:rPr>
        <w:t xml:space="preserve"> (T.A.); </w:t>
      </w:r>
      <w:hyperlink r:id="rId32" w:history="1">
        <w:r w:rsidR="00221F12" w:rsidRPr="00221F12">
          <w:rPr>
            <w:rStyle w:val="Bodytext4"/>
          </w:rPr>
          <w:t>carpediem0912@naver.com</w:t>
        </w:r>
      </w:hyperlink>
      <w:r w:rsidR="00221F12" w:rsidRPr="00221F12">
        <w:rPr>
          <w:rStyle w:val="Bodytext4"/>
        </w:rPr>
        <w:t xml:space="preserve"> (J.H.)</w:t>
      </w:r>
      <w:r w:rsidR="00B540A5" w:rsidRPr="00B540A5">
        <w:rPr>
          <w:rStyle w:val="Bodytext4"/>
        </w:rPr>
        <w:t>.</w:t>
      </w:r>
    </w:p>
    <w:p w14:paraId="6385E276" w14:textId="77777777" w:rsidR="00221F12" w:rsidRPr="00221F12" w:rsidRDefault="00221F12" w:rsidP="00B540A5">
      <w:pPr>
        <w:spacing w:line="322" w:lineRule="auto"/>
        <w:ind w:left="2552"/>
        <w:rPr>
          <w:rFonts w:ascii="Arial" w:eastAsia="Arial" w:hAnsi="Arial" w:cs="Arial"/>
          <w:color w:val="auto"/>
          <w:sz w:val="14"/>
          <w:szCs w:val="14"/>
        </w:rPr>
      </w:pPr>
    </w:p>
    <w:p w14:paraId="447E2654" w14:textId="29C559FD" w:rsidR="003C3170" w:rsidRPr="00221F12" w:rsidRDefault="00221F12" w:rsidP="00B540A5">
      <w:pPr>
        <w:tabs>
          <w:tab w:val="left" w:pos="2904"/>
        </w:tabs>
        <w:spacing w:before="40"/>
        <w:ind w:left="2552"/>
        <w:rPr>
          <w:rFonts w:ascii="Arial" w:eastAsia="Arial" w:hAnsi="Arial" w:cs="Arial"/>
          <w:color w:val="auto"/>
          <w:sz w:val="14"/>
          <w:szCs w:val="14"/>
          <w:lang w:val="ru-RU"/>
        </w:rPr>
      </w:pPr>
      <w:r w:rsidRPr="00221F12">
        <w:rPr>
          <w:rFonts w:ascii="Arial" w:eastAsia="Arial" w:hAnsi="Arial" w:cs="Arial"/>
          <w:color w:val="auto"/>
          <w:sz w:val="14"/>
          <w:szCs w:val="14"/>
          <w:lang w:val="ru-RU"/>
        </w:rPr>
        <w:t>2.</w:t>
      </w:r>
      <w:r>
        <w:rPr>
          <w:rFonts w:ascii="Arial" w:eastAsia="Arial" w:hAnsi="Arial" w:cs="Arial"/>
          <w:color w:val="auto"/>
          <w:sz w:val="14"/>
          <w:szCs w:val="14"/>
          <w:lang w:val="ru-RU"/>
        </w:rPr>
        <w:t xml:space="preserve">  </w:t>
      </w:r>
      <w:r w:rsidR="0092685B">
        <w:rPr>
          <w:rFonts w:ascii="Arial" w:eastAsia="Arial" w:hAnsi="Arial" w:cs="Arial"/>
          <w:color w:val="auto"/>
          <w:sz w:val="14"/>
          <w:szCs w:val="14"/>
          <w:lang w:val="ru-RU"/>
        </w:rPr>
        <w:t xml:space="preserve">   </w:t>
      </w:r>
      <w:r w:rsidR="003C3170" w:rsidRPr="00221F12">
        <w:rPr>
          <w:rFonts w:ascii="Arial" w:eastAsia="Arial" w:hAnsi="Arial" w:cs="Arial"/>
          <w:color w:val="auto"/>
          <w:sz w:val="14"/>
          <w:szCs w:val="14"/>
          <w:lang w:val="ru-RU"/>
        </w:rPr>
        <w:t xml:space="preserve">Кафедра психологии и наук о мозге, Колледж искусств и наук Бостонского университета, Бостон, Массачусетс 02215, США; </w:t>
      </w:r>
      <w:hyperlink r:id="rId33" w:history="1">
        <w:r w:rsidR="003C3170" w:rsidRPr="00221F12">
          <w:rPr>
            <w:rFonts w:ascii="Arial" w:eastAsia="Arial" w:hAnsi="Arial" w:cs="Arial"/>
            <w:color w:val="auto"/>
            <w:sz w:val="14"/>
            <w:szCs w:val="14"/>
          </w:rPr>
          <w:t>dong</w:t>
        </w:r>
        <w:r w:rsidR="003C3170" w:rsidRPr="00221F12">
          <w:rPr>
            <w:rFonts w:ascii="Arial" w:eastAsia="Arial" w:hAnsi="Arial" w:cs="Arial"/>
            <w:color w:val="auto"/>
            <w:sz w:val="14"/>
            <w:szCs w:val="14"/>
            <w:lang w:val="ru-RU"/>
          </w:rPr>
          <w:t>1109@</w:t>
        </w:r>
        <w:r w:rsidR="003C3170" w:rsidRPr="00221F12">
          <w:rPr>
            <w:rFonts w:ascii="Arial" w:eastAsia="Arial" w:hAnsi="Arial" w:cs="Arial"/>
            <w:color w:val="auto"/>
            <w:sz w:val="14"/>
            <w:szCs w:val="14"/>
          </w:rPr>
          <w:t>bu</w:t>
        </w:r>
        <w:r w:rsidR="003C3170" w:rsidRPr="00221F12">
          <w:rPr>
            <w:rFonts w:ascii="Arial" w:eastAsia="Arial" w:hAnsi="Arial" w:cs="Arial"/>
            <w:color w:val="auto"/>
            <w:sz w:val="14"/>
            <w:szCs w:val="14"/>
            <w:lang w:val="ru-RU"/>
          </w:rPr>
          <w:t>.</w:t>
        </w:r>
        <w:r w:rsidR="003C3170" w:rsidRPr="00221F12">
          <w:rPr>
            <w:rFonts w:ascii="Arial" w:eastAsia="Arial" w:hAnsi="Arial" w:cs="Arial"/>
            <w:color w:val="auto"/>
            <w:sz w:val="14"/>
            <w:szCs w:val="14"/>
          </w:rPr>
          <w:t>edu</w:t>
        </w:r>
      </w:hyperlink>
      <w:r w:rsidRPr="00221F12">
        <w:rPr>
          <w:rFonts w:ascii="Arial" w:eastAsia="Arial" w:hAnsi="Arial" w:cs="Arial"/>
          <w:color w:val="auto"/>
          <w:sz w:val="14"/>
          <w:szCs w:val="14"/>
          <w:lang w:val="ru-RU"/>
        </w:rPr>
        <w:t>.</w:t>
      </w:r>
      <w:r w:rsidR="00B540A5">
        <w:rPr>
          <w:rFonts w:ascii="Arial" w:eastAsia="Arial" w:hAnsi="Arial" w:cs="Arial"/>
          <w:color w:val="auto"/>
          <w:sz w:val="14"/>
          <w:szCs w:val="14"/>
          <w:lang w:val="ru-RU"/>
        </w:rPr>
        <w:t>.</w:t>
      </w:r>
    </w:p>
    <w:p w14:paraId="4C716B5F" w14:textId="02E28F52" w:rsidR="00221F12" w:rsidRDefault="00221F12" w:rsidP="00B540A5">
      <w:pPr>
        <w:pStyle w:val="Bodytext40"/>
        <w:tabs>
          <w:tab w:val="left" w:pos="2904"/>
        </w:tabs>
        <w:ind w:left="2552" w:firstLine="0"/>
        <w:rPr>
          <w:rStyle w:val="Bodytext4"/>
        </w:rPr>
      </w:pPr>
      <w:r w:rsidRPr="00221F12">
        <w:rPr>
          <w:rStyle w:val="Bodytext4"/>
        </w:rPr>
        <w:t xml:space="preserve">2.  </w:t>
      </w:r>
      <w:r w:rsidR="0092685B" w:rsidRPr="0092685B">
        <w:rPr>
          <w:rStyle w:val="Bodytext4"/>
        </w:rPr>
        <w:t xml:space="preserve">   </w:t>
      </w:r>
      <w:r w:rsidRPr="00221F12">
        <w:rPr>
          <w:rStyle w:val="Bodytext4"/>
        </w:rPr>
        <w:t xml:space="preserve">Department of Psychological and Brain Sciences, College of Arts and Sciences, Boston University, Boston, MA 02215, USA; </w:t>
      </w:r>
      <w:hyperlink r:id="rId34" w:history="1">
        <w:r w:rsidRPr="00221F12">
          <w:rPr>
            <w:rStyle w:val="Bodytext4"/>
          </w:rPr>
          <w:t>dong1109@bu.edu</w:t>
        </w:r>
      </w:hyperlink>
      <w:r w:rsidR="0092685B" w:rsidRPr="0092685B">
        <w:rPr>
          <w:rStyle w:val="Bodytext4"/>
        </w:rPr>
        <w:t>.</w:t>
      </w:r>
    </w:p>
    <w:p w14:paraId="6E6D619E" w14:textId="77777777" w:rsidR="0092685B" w:rsidRPr="0092685B" w:rsidRDefault="0092685B" w:rsidP="00B540A5">
      <w:pPr>
        <w:pStyle w:val="Bodytext40"/>
        <w:tabs>
          <w:tab w:val="left" w:pos="2904"/>
        </w:tabs>
        <w:ind w:left="2552" w:firstLine="0"/>
      </w:pPr>
    </w:p>
    <w:p w14:paraId="36914C11" w14:textId="101B8AB3" w:rsidR="003C3170" w:rsidRPr="0092685B" w:rsidRDefault="003C3170" w:rsidP="00B540A5">
      <w:pPr>
        <w:pStyle w:val="a7"/>
        <w:numPr>
          <w:ilvl w:val="0"/>
          <w:numId w:val="11"/>
        </w:numPr>
        <w:tabs>
          <w:tab w:val="left" w:pos="2904"/>
        </w:tabs>
        <w:spacing w:before="40"/>
        <w:ind w:left="2552" w:firstLine="0"/>
        <w:rPr>
          <w:rFonts w:ascii="Arial" w:eastAsia="Arial" w:hAnsi="Arial" w:cs="Arial"/>
          <w:color w:val="auto"/>
          <w:sz w:val="14"/>
          <w:szCs w:val="14"/>
          <w:lang w:val="ru-RU"/>
        </w:rPr>
      </w:pPr>
      <w:r w:rsidRPr="0092685B">
        <w:rPr>
          <w:rFonts w:ascii="Arial" w:eastAsia="Arial" w:hAnsi="Arial" w:cs="Arial"/>
          <w:color w:val="auto"/>
          <w:sz w:val="14"/>
          <w:szCs w:val="14"/>
          <w:lang w:val="ru-RU"/>
        </w:rPr>
        <w:t>Медицинский исследовательский центр, Институт аллергологии и клинической иммунологии, Сеульский национальный университет, Сеул 03080, Корея</w:t>
      </w:r>
      <w:r w:rsidR="00221F12" w:rsidRPr="0092685B">
        <w:rPr>
          <w:rFonts w:ascii="Arial" w:eastAsia="Arial" w:hAnsi="Arial" w:cs="Arial"/>
          <w:color w:val="auto"/>
          <w:sz w:val="14"/>
          <w:szCs w:val="14"/>
          <w:lang w:val="ru-RU"/>
        </w:rPr>
        <w:t>.</w:t>
      </w:r>
    </w:p>
    <w:p w14:paraId="10FBF91C" w14:textId="3D0D1F09" w:rsidR="00221F12" w:rsidRPr="00B540A5" w:rsidRDefault="0092685B" w:rsidP="00B540A5">
      <w:pPr>
        <w:pStyle w:val="Bodytext40"/>
        <w:tabs>
          <w:tab w:val="left" w:pos="2904"/>
        </w:tabs>
        <w:ind w:left="2552" w:firstLine="0"/>
      </w:pPr>
      <w:r w:rsidRPr="0092685B">
        <w:rPr>
          <w:rStyle w:val="Bodytext4"/>
        </w:rPr>
        <w:t xml:space="preserve">3.     </w:t>
      </w:r>
      <w:r w:rsidR="00221F12" w:rsidRPr="00221F12">
        <w:rPr>
          <w:rStyle w:val="Bodytext4"/>
        </w:rPr>
        <w:t>Medical Research Center, Institute of Allergy and Clinical Immunology, Seoul National University, Seoul 03080, Korea</w:t>
      </w:r>
      <w:r w:rsidR="00B540A5" w:rsidRPr="00B540A5">
        <w:rPr>
          <w:rStyle w:val="Bodytext4"/>
        </w:rPr>
        <w:t>.</w:t>
      </w:r>
    </w:p>
    <w:p w14:paraId="6FB51538" w14:textId="77777777" w:rsidR="00221F12" w:rsidRPr="00221F12" w:rsidRDefault="00221F12" w:rsidP="00221F12">
      <w:pPr>
        <w:tabs>
          <w:tab w:val="left" w:pos="2904"/>
        </w:tabs>
        <w:spacing w:before="40"/>
        <w:ind w:left="2920"/>
        <w:jc w:val="both"/>
        <w:rPr>
          <w:rFonts w:ascii="Arial" w:eastAsia="Arial" w:hAnsi="Arial" w:cs="Arial"/>
          <w:color w:val="auto"/>
          <w:sz w:val="14"/>
          <w:szCs w:val="14"/>
        </w:rPr>
      </w:pPr>
    </w:p>
    <w:p w14:paraId="683D8111" w14:textId="77777777" w:rsidR="00D567C0" w:rsidRPr="00CE5466" w:rsidRDefault="00F96AE2" w:rsidP="0092685B">
      <w:pPr>
        <w:pStyle w:val="Bodytext40"/>
        <w:spacing w:after="240"/>
        <w:ind w:left="0" w:firstLine="0"/>
        <w:rPr>
          <w:lang w:val="ru-RU"/>
        </w:rPr>
      </w:pPr>
      <w:r w:rsidRPr="003A070B">
        <w:rPr>
          <w:rStyle w:val="Bodytext4"/>
          <w:b/>
          <w:bCs/>
          <w:lang w:val="ru-RU"/>
        </w:rPr>
        <w:t xml:space="preserve">* </w:t>
      </w:r>
      <w:r w:rsidR="00CE5466" w:rsidRPr="003A070B">
        <w:rPr>
          <w:rStyle w:val="Bodytext4"/>
          <w:lang w:val="ru-RU"/>
        </w:rPr>
        <w:t>Для корреспонденции</w:t>
      </w:r>
      <w:r w:rsidRPr="003A070B">
        <w:rPr>
          <w:rStyle w:val="Bodytext4"/>
          <w:lang w:val="ru-RU"/>
        </w:rPr>
        <w:t xml:space="preserve">: </w:t>
      </w:r>
      <w:hyperlink r:id="rId35" w:history="1">
        <w:r w:rsidRPr="003A070B">
          <w:rPr>
            <w:rStyle w:val="Bodytext4"/>
          </w:rPr>
          <w:t>bbambaya</w:t>
        </w:r>
        <w:r w:rsidRPr="003A070B">
          <w:rPr>
            <w:rStyle w:val="Bodytext4"/>
            <w:lang w:val="ru-RU"/>
          </w:rPr>
          <w:t>921@</w:t>
        </w:r>
        <w:r w:rsidRPr="003A070B">
          <w:rPr>
            <w:rStyle w:val="Bodytext4"/>
          </w:rPr>
          <w:t>snu</w:t>
        </w:r>
        <w:r w:rsidRPr="003A070B">
          <w:rPr>
            <w:rStyle w:val="Bodytext4"/>
            <w:lang w:val="ru-RU"/>
          </w:rPr>
          <w:t>.</w:t>
        </w:r>
        <w:r w:rsidRPr="003A070B">
          <w:rPr>
            <w:rStyle w:val="Bodytext4"/>
          </w:rPr>
          <w:t>ac</w:t>
        </w:r>
        <w:r w:rsidRPr="003A070B">
          <w:rPr>
            <w:rStyle w:val="Bodytext4"/>
            <w:lang w:val="ru-RU"/>
          </w:rPr>
          <w:t>.</w:t>
        </w:r>
        <w:r w:rsidRPr="003A070B">
          <w:rPr>
            <w:rStyle w:val="Bodytext4"/>
          </w:rPr>
          <w:t>kr</w:t>
        </w:r>
      </w:hyperlink>
      <w:r w:rsidRPr="003A070B">
        <w:rPr>
          <w:rStyle w:val="Bodytext4"/>
          <w:lang w:val="ru-RU"/>
        </w:rPr>
        <w:t xml:space="preserve"> (</w:t>
      </w:r>
      <w:r w:rsidRPr="003A070B">
        <w:rPr>
          <w:rStyle w:val="Bodytext4"/>
        </w:rPr>
        <w:t>Y</w:t>
      </w:r>
      <w:r w:rsidRPr="003A070B">
        <w:rPr>
          <w:rStyle w:val="Bodytext4"/>
          <w:lang w:val="ru-RU"/>
        </w:rPr>
        <w:t>.</w:t>
      </w:r>
      <w:r w:rsidRPr="003A070B">
        <w:rPr>
          <w:rStyle w:val="Bodytext4"/>
        </w:rPr>
        <w:t>K</w:t>
      </w:r>
      <w:r w:rsidRPr="003A070B">
        <w:rPr>
          <w:rStyle w:val="Bodytext4"/>
          <w:lang w:val="ru-RU"/>
        </w:rPr>
        <w:t xml:space="preserve">.); </w:t>
      </w:r>
      <w:hyperlink r:id="rId36" w:history="1">
        <w:r w:rsidRPr="003A070B">
          <w:rPr>
            <w:rStyle w:val="Bodytext4"/>
          </w:rPr>
          <w:t>genius</w:t>
        </w:r>
        <w:r w:rsidRPr="003A070B">
          <w:rPr>
            <w:rStyle w:val="Bodytext4"/>
            <w:lang w:val="ru-RU"/>
          </w:rPr>
          <w:t>29@</w:t>
        </w:r>
        <w:r w:rsidRPr="003A070B">
          <w:rPr>
            <w:rStyle w:val="Bodytext4"/>
          </w:rPr>
          <w:t>snu</w:t>
        </w:r>
        <w:r w:rsidRPr="003A070B">
          <w:rPr>
            <w:rStyle w:val="Bodytext4"/>
            <w:lang w:val="ru-RU"/>
          </w:rPr>
          <w:t>.</w:t>
        </w:r>
        <w:r w:rsidRPr="003A070B">
          <w:rPr>
            <w:rStyle w:val="Bodytext4"/>
          </w:rPr>
          <w:t>ac</w:t>
        </w:r>
        <w:r w:rsidRPr="003A070B">
          <w:rPr>
            <w:rStyle w:val="Bodytext4"/>
            <w:lang w:val="ru-RU"/>
          </w:rPr>
          <w:t>.</w:t>
        </w:r>
        <w:r w:rsidRPr="003A070B">
          <w:rPr>
            <w:rStyle w:val="Bodytext4"/>
          </w:rPr>
          <w:t>kr</w:t>
        </w:r>
      </w:hyperlink>
      <w:r w:rsidRPr="003A070B">
        <w:rPr>
          <w:rStyle w:val="Bodytext4"/>
          <w:lang w:val="ru-RU"/>
        </w:rPr>
        <w:t xml:space="preserve"> (</w:t>
      </w:r>
      <w:r w:rsidRPr="003A070B">
        <w:rPr>
          <w:rStyle w:val="Bodytext4"/>
        </w:rPr>
        <w:t>J</w:t>
      </w:r>
      <w:r w:rsidRPr="003A070B">
        <w:rPr>
          <w:rStyle w:val="Bodytext4"/>
          <w:lang w:val="ru-RU"/>
        </w:rPr>
        <w:t>.</w:t>
      </w:r>
      <w:r w:rsidRPr="003A070B">
        <w:rPr>
          <w:rStyle w:val="Bodytext4"/>
        </w:rPr>
        <w:t>S</w:t>
      </w:r>
      <w:r w:rsidRPr="003A070B">
        <w:rPr>
          <w:rStyle w:val="Bodytext4"/>
          <w:lang w:val="ru-RU"/>
        </w:rPr>
        <w:t>.</w:t>
      </w:r>
      <w:r w:rsidRPr="003A070B">
        <w:rPr>
          <w:rStyle w:val="Bodytext4"/>
        </w:rPr>
        <w:t>K</w:t>
      </w:r>
      <w:r w:rsidRPr="003A070B">
        <w:rPr>
          <w:rStyle w:val="Bodytext4"/>
          <w:lang w:val="ru-RU"/>
        </w:rPr>
        <w:t>.)</w:t>
      </w:r>
    </w:p>
    <w:p w14:paraId="1A8D5334" w14:textId="575DE765" w:rsidR="00D567C0" w:rsidRPr="0081031B" w:rsidRDefault="0092685B" w:rsidP="00756A4E">
      <w:pPr>
        <w:pStyle w:val="Bodytext20"/>
        <w:spacing w:after="200" w:line="338" w:lineRule="auto"/>
        <w:ind w:left="2552" w:firstLine="0"/>
        <w:jc w:val="both"/>
        <w:rPr>
          <w:color w:val="C0504D" w:themeColor="accent2"/>
          <w:lang w:val="ru-RU"/>
        </w:rPr>
      </w:pPr>
      <w:r>
        <w:rPr>
          <w:noProof/>
          <w:lang w:val="ru-RU" w:eastAsia="ru-RU" w:bidi="ar-SA"/>
        </w:rPr>
        <mc:AlternateContent>
          <mc:Choice Requires="wps">
            <w:drawing>
              <wp:anchor distT="0" distB="1654810" distL="114300" distR="114300" simplePos="0" relativeHeight="251657216" behindDoc="0" locked="0" layoutInCell="1" allowOverlap="1" wp14:anchorId="7F787B55" wp14:editId="26DFFF03">
                <wp:simplePos x="0" y="0"/>
                <wp:positionH relativeFrom="page">
                  <wp:posOffset>431800</wp:posOffset>
                </wp:positionH>
                <wp:positionV relativeFrom="margin">
                  <wp:posOffset>5824220</wp:posOffset>
                </wp:positionV>
                <wp:extent cx="1527175" cy="1310640"/>
                <wp:effectExtent l="0" t="0" r="0" b="0"/>
                <wp:wrapSquare wrapText="right"/>
                <wp:docPr id="18" name="Shape 18"/>
                <wp:cNvGraphicFramePr/>
                <a:graphic xmlns:a="http://schemas.openxmlformats.org/drawingml/2006/main">
                  <a:graphicData uri="http://schemas.microsoft.com/office/word/2010/wordprocessingShape">
                    <wps:wsp>
                      <wps:cNvSpPr txBox="1"/>
                      <wps:spPr>
                        <a:xfrm>
                          <a:off x="0" y="0"/>
                          <a:ext cx="1527175" cy="1310640"/>
                        </a:xfrm>
                        <a:prstGeom prst="rect">
                          <a:avLst/>
                        </a:prstGeom>
                        <a:noFill/>
                      </wps:spPr>
                      <wps:txbx>
                        <w:txbxContent>
                          <w:p w14:paraId="46B818C1" w14:textId="77777777" w:rsidR="00062B98" w:rsidRPr="00CE5466" w:rsidRDefault="00062B98">
                            <w:pPr>
                              <w:pStyle w:val="Bodytext30"/>
                              <w:rPr>
                                <w:lang w:val="ru-RU"/>
                              </w:rPr>
                            </w:pPr>
                            <w:r>
                              <w:rPr>
                                <w:rStyle w:val="Bodytext3"/>
                                <w:lang w:val="ru-RU"/>
                              </w:rPr>
                              <w:t>Получено: 14 марта 2022 года</w:t>
                            </w:r>
                          </w:p>
                          <w:p w14:paraId="1F9A77BC" w14:textId="77777777" w:rsidR="00062B98" w:rsidRPr="00CE5466" w:rsidRDefault="00062B98">
                            <w:pPr>
                              <w:pStyle w:val="Bodytext30"/>
                              <w:rPr>
                                <w:lang w:val="ru-RU"/>
                              </w:rPr>
                            </w:pPr>
                            <w:r>
                              <w:rPr>
                                <w:rStyle w:val="Bodytext3"/>
                                <w:lang w:val="ru-RU"/>
                              </w:rPr>
                              <w:t>Принято: 9 мая 2022 года</w:t>
                            </w:r>
                          </w:p>
                          <w:p w14:paraId="03F0360D" w14:textId="77777777" w:rsidR="00062B98" w:rsidRPr="00CE5466" w:rsidRDefault="00062B98">
                            <w:pPr>
                              <w:pStyle w:val="Bodytext30"/>
                              <w:spacing w:after="100"/>
                              <w:rPr>
                                <w:lang w:val="ru-RU"/>
                              </w:rPr>
                            </w:pPr>
                            <w:r>
                              <w:rPr>
                                <w:rStyle w:val="Bodytext3"/>
                                <w:lang w:val="ru-RU"/>
                              </w:rPr>
                              <w:t>Опубликовано: 11 мая 2022 года</w:t>
                            </w:r>
                          </w:p>
                          <w:p w14:paraId="31564087" w14:textId="77777777" w:rsidR="00062B98" w:rsidRPr="00CE5466" w:rsidRDefault="00062B98">
                            <w:pPr>
                              <w:pStyle w:val="Bodytext30"/>
                              <w:jc w:val="both"/>
                              <w:rPr>
                                <w:lang w:val="ru-RU"/>
                              </w:rPr>
                            </w:pPr>
                            <w:r>
                              <w:rPr>
                                <w:rStyle w:val="Bodytext3"/>
                                <w:b/>
                                <w:bCs/>
                                <w:lang w:val="ru-RU"/>
                              </w:rPr>
                              <w:t>Примечание издателя:</w:t>
                            </w:r>
                            <w:r>
                              <w:rPr>
                                <w:rStyle w:val="Bodytext3"/>
                                <w:lang w:val="ru-RU"/>
                              </w:rPr>
                              <w:t xml:space="preserve"> MDPI остается нейтральным в отношении юрисдикционных претензий в опубликованных картах и институциональной принадлежности.</w:t>
                            </w:r>
                            <w:r>
                              <w:rPr>
                                <w:rStyle w:val="Bodytext3"/>
                                <w:lang w:val="ru-RU"/>
                              </w:rPr>
                              <w:softHyphen/>
                            </w:r>
                          </w:p>
                        </w:txbxContent>
                      </wps:txbx>
                      <wps:bodyPr lIns="0" tIns="0" rIns="0" bIns="0">
                        <a:noAutofit/>
                      </wps:bodyPr>
                    </wps:wsp>
                  </a:graphicData>
                </a:graphic>
                <wp14:sizeRelV relativeFrom="margin">
                  <wp14:pctHeight>0</wp14:pctHeight>
                </wp14:sizeRelV>
              </wp:anchor>
            </w:drawing>
          </mc:Choice>
          <mc:Fallback>
            <w:pict>
              <v:shape w14:anchorId="7F787B55" id="Shape 18" o:spid="_x0000_s1027" type="#_x0000_t202" style="position:absolute;left:0;text-align:left;margin-left:34pt;margin-top:458.6pt;width:120.25pt;height:103.2pt;z-index:251657216;visibility:visible;mso-wrap-style:square;mso-height-percent:0;mso-wrap-distance-left:9pt;mso-wrap-distance-top:0;mso-wrap-distance-right:9pt;mso-wrap-distance-bottom:130.3pt;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" filled="f" stroked="f">
                <v:textbox inset="0,0,0,0">
                  <w:txbxContent>
                    <w:p w14:paraId="46B818C1" w14:textId="77777777" w:rsidR="00062B98" w:rsidRPr="00CE5466" w:rsidRDefault="00062B98">
                      <w:pPr>
                        <w:pStyle w:val="Bodytext30"/>
                        <w:rPr>
                          <w:lang w:val="ru-RU"/>
                        </w:rPr>
                      </w:pPr>
                      <w:r>
                        <w:rPr>
                          <w:rStyle w:val="Bodytext3"/>
                          <w:lang w:val="ru-RU"/>
                        </w:rPr>
                        <w:t>Получено: 14 марта 2022 года</w:t>
                      </w:r>
                    </w:p>
                    <w:p w14:paraId="1F9A77BC" w14:textId="77777777" w:rsidR="00062B98" w:rsidRPr="00CE5466" w:rsidRDefault="00062B98">
                      <w:pPr>
                        <w:pStyle w:val="Bodytext30"/>
                        <w:rPr>
                          <w:lang w:val="ru-RU"/>
                        </w:rPr>
                      </w:pPr>
                      <w:r>
                        <w:rPr>
                          <w:rStyle w:val="Bodytext3"/>
                          <w:lang w:val="ru-RU"/>
                        </w:rPr>
                        <w:t>Принято: 9 мая 2022 года</w:t>
                      </w:r>
                    </w:p>
                    <w:p w14:paraId="03F0360D" w14:textId="77777777" w:rsidR="00062B98" w:rsidRPr="00CE5466" w:rsidRDefault="00062B98">
                      <w:pPr>
                        <w:pStyle w:val="Bodytext30"/>
                        <w:spacing w:after="100"/>
                        <w:rPr>
                          <w:lang w:val="ru-RU"/>
                        </w:rPr>
                      </w:pPr>
                      <w:r>
                        <w:rPr>
                          <w:rStyle w:val="Bodytext3"/>
                          <w:lang w:val="ru-RU"/>
                        </w:rPr>
                        <w:t>Опубликовано: 11 мая 2022 года</w:t>
                      </w:r>
                    </w:p>
                    <w:p w14:paraId="31564087" w14:textId="77777777" w:rsidR="00062B98" w:rsidRPr="00CE5466" w:rsidRDefault="00062B98">
                      <w:pPr>
                        <w:pStyle w:val="Bodytext30"/>
                        <w:jc w:val="both"/>
                        <w:rPr>
                          <w:lang w:val="ru-RU"/>
                        </w:rPr>
                      </w:pPr>
                      <w:r>
                        <w:rPr>
                          <w:rStyle w:val="Bodytext3"/>
                          <w:b/>
                          <w:bCs/>
                          <w:lang w:val="ru-RU"/>
                        </w:rPr>
                        <w:t>Примечание издателя:</w:t>
                      </w:r>
                      <w:r>
                        <w:rPr>
                          <w:rStyle w:val="Bodytext3"/>
                          <w:lang w:val="ru-RU"/>
                        </w:rPr>
                        <w:t xml:space="preserve"> MDPI остается нейтральным в отношении юрисдикционных претензий в опубликованных картах и институциональной принадлежности.</w:t>
                      </w:r>
                      <w:r>
                        <w:rPr>
                          <w:rStyle w:val="Bodytext3"/>
                          <w:lang w:val="ru-RU"/>
                        </w:rPr>
                        <w:softHyphen/>
                      </w:r>
                    </w:p>
                  </w:txbxContent>
                </v:textbox>
                <w10:wrap type="square" side="right" anchorx="page" anchory="margin"/>
              </v:shape>
            </w:pict>
          </mc:Fallback>
        </mc:AlternateContent>
      </w:r>
      <w:r w:rsidR="00CE5466">
        <w:rPr>
          <w:rStyle w:val="Bodytext2"/>
          <w:b/>
          <w:bCs/>
          <w:lang w:val="ru-RU"/>
        </w:rPr>
        <w:t>Аннотация</w:t>
      </w:r>
      <w:r w:rsidR="00F96AE2">
        <w:rPr>
          <w:rStyle w:val="Bodytext2"/>
          <w:b/>
          <w:bCs/>
          <w:lang w:val="ru-RU"/>
        </w:rPr>
        <w:t>:</w:t>
      </w:r>
      <w:r w:rsidR="00F96AE2">
        <w:rPr>
          <w:rStyle w:val="Bodytext2"/>
          <w:lang w:val="ru-RU"/>
        </w:rPr>
        <w:t xml:space="preserve"> Рак поджелудочной железы (РПЖ) является одним из наиболее злокачественных солидных опухолей с высоким уровнем смертности. Несмотря на большое количество проведенных испытаний химиотерапевтических препаратов, таких как гемцитабин, показатели смертности остаются существенно выше в сравнении с другими видами рака. Таким образом, существует необходимость в более эффективных методах традиционной терапии РПЖ. Раковые клетки поглощают большое количество глутамина, что приводит к их быстрой пролиферации. Недавние исследования показывают, что переносчик аминокислот SLC6A14 активируется при некоторых видах рака наряду с метаболизмом глутамина. </w:t>
      </w:r>
      <w:r w:rsidR="00F96AE2" w:rsidRPr="0081031B">
        <w:rPr>
          <w:rStyle w:val="Bodytext2"/>
          <w:color w:val="C0504D" w:themeColor="accent2"/>
          <w:lang w:val="ru-RU"/>
        </w:rPr>
        <w:t>Аллоферон, являющийся пептидом, выделенным из иммунной системы насекомых, оказывает противовирусный и противовоспалительный эффект за счет своей иммуномодулирующей функции. Вдобавок, он обладает противоопухолевым действием</w:t>
      </w:r>
      <w:r w:rsidR="00F96AE2">
        <w:rPr>
          <w:rStyle w:val="Bodytext2"/>
          <w:lang w:val="ru-RU"/>
        </w:rPr>
        <w:t xml:space="preserve">, несмотря на то, что лежащие в его основе механизмы по большей части неизвестны. Таким образом, мы проводили исследование влияние аллоферона на клеточные линии РПЖ Panc-1 и AsPC-1. </w:t>
      </w:r>
      <w:r w:rsidR="00F96AE2" w:rsidRPr="0081031B">
        <w:rPr>
          <w:rStyle w:val="Bodytext2"/>
          <w:color w:val="C0504D" w:themeColor="accent2"/>
          <w:lang w:val="ru-RU"/>
        </w:rPr>
        <w:t>Воздействие на эти клетки аллоферона в течение 3 недель привело к уменьшению экспрессии SLC6A14 и снижению поглощения глутамина</w:t>
      </w:r>
      <w:r w:rsidR="00F96AE2">
        <w:rPr>
          <w:rStyle w:val="Bodytext2"/>
          <w:lang w:val="ru-RU"/>
        </w:rPr>
        <w:t xml:space="preserve">. </w:t>
      </w:r>
      <w:r w:rsidR="00F96AE2" w:rsidRPr="0081031B">
        <w:rPr>
          <w:rStyle w:val="Bodytext2"/>
          <w:color w:val="C0504D" w:themeColor="accent2"/>
          <w:lang w:val="ru-RU"/>
        </w:rPr>
        <w:t>Учитывая роль SLC6A14 в прогрессировании опухоли и выживании, способствуя поглощению глутаминараковыми клетками, аллоферон мог бы стать потенциальным адъювантом для химиотерапевтического препарата гемцитабина.</w:t>
      </w:r>
    </w:p>
    <w:p w14:paraId="3ABDA631" w14:textId="77777777" w:rsidR="00D567C0" w:rsidRPr="00CE5466" w:rsidRDefault="00F96AE2">
      <w:pPr>
        <w:pStyle w:val="Bodytext20"/>
        <w:spacing w:after="360" w:line="338" w:lineRule="auto"/>
        <w:ind w:left="0" w:firstLine="0"/>
        <w:jc w:val="both"/>
        <w:rPr>
          <w:lang w:val="ru-RU"/>
        </w:rPr>
      </w:pPr>
      <w:r>
        <w:rPr>
          <w:rStyle w:val="Bodytext2"/>
          <w:b/>
          <w:bCs/>
          <w:lang w:val="ru-RU"/>
        </w:rPr>
        <w:t xml:space="preserve">Ключевые слова: </w:t>
      </w:r>
      <w:r>
        <w:rPr>
          <w:rStyle w:val="Bodytext2"/>
          <w:lang w:val="ru-RU"/>
        </w:rPr>
        <w:t>аллоферон; рак поджелудочной железы; SLC6A14; глутамин; гемцитабин</w:t>
      </w:r>
    </w:p>
    <w:p w14:paraId="189D7767" w14:textId="77777777" w:rsidR="00D567C0" w:rsidRPr="00CE5466" w:rsidRDefault="003730C9">
      <w:pPr>
        <w:pStyle w:val="Bodytext30"/>
        <w:spacing w:after="200" w:line="240" w:lineRule="auto"/>
        <w:jc w:val="both"/>
        <w:rPr>
          <w:color w:val="FFFFFF" w:themeColor="background1"/>
          <w:lang w:val="ru-RU"/>
        </w:rPr>
      </w:pPr>
      <w:r>
        <w:rPr>
          <w:rStyle w:val="Bodytext3"/>
          <w:lang w:val="ru-RU"/>
        </w:rPr>
        <w:t>Научный редактор: Сатоши Вада</w:t>
      </w:r>
      <w:r w:rsidRPr="00CE5466">
        <w:rPr>
          <w:rStyle w:val="Bodytext3"/>
          <w:color w:val="FFFFFF" w:themeColor="background1"/>
          <w:lang w:val="ru-RU"/>
        </w:rPr>
        <w:t xml:space="preserve"> </w:t>
      </w:r>
      <w:r w:rsidR="00F96AE2" w:rsidRPr="00CE5466">
        <w:rPr>
          <w:rStyle w:val="Bodytext3"/>
          <w:color w:val="FFFFFF" w:themeColor="background1"/>
          <w:lang w:val="ru-RU"/>
        </w:rPr>
        <w:t>Научный редактор: Сатоши Вада</w:t>
      </w:r>
    </w:p>
    <w:p w14:paraId="6BFA5679" w14:textId="52E93332" w:rsidR="00D567C0" w:rsidRPr="00CE5466" w:rsidRDefault="00F96AE2" w:rsidP="003730C9">
      <w:pPr>
        <w:pStyle w:val="Bodytext30"/>
        <w:spacing w:after="200" w:line="240" w:lineRule="auto"/>
        <w:ind w:left="2552"/>
        <w:rPr>
          <w:lang w:val="ru-RU"/>
        </w:rPr>
      </w:pPr>
      <w:r>
        <w:rPr>
          <w:noProof/>
          <w:lang w:val="ru-RU" w:eastAsia="ru-RU" w:bidi="ar-SA"/>
        </w:rPr>
        <w:drawing>
          <wp:anchor distT="1256030" distB="1297940" distL="132715" distR="897890" simplePos="0" relativeHeight="251658752" behindDoc="0" locked="0" layoutInCell="1" allowOverlap="1" wp14:anchorId="12CB1436" wp14:editId="45A4D8FD">
            <wp:simplePos x="0" y="0"/>
            <wp:positionH relativeFrom="page">
              <wp:posOffset>450215</wp:posOffset>
            </wp:positionH>
            <wp:positionV relativeFrom="margin">
              <wp:posOffset>7230110</wp:posOffset>
            </wp:positionV>
            <wp:extent cx="725170" cy="262255"/>
            <wp:effectExtent l="0" t="0" r="0" b="0"/>
            <wp:wrapSquare wrapText="right"/>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37"/>
                    <a:stretch>
                      <a:fillRect/>
                    </a:stretch>
                  </pic:blipFill>
                  <pic:spPr>
                    <a:xfrm>
                      <a:off x="0" y="0"/>
                      <a:ext cx="725170" cy="262255"/>
                    </a:xfrm>
                    <a:prstGeom prst="rect">
                      <a:avLst/>
                    </a:prstGeom>
                  </pic:spPr>
                </pic:pic>
              </a:graphicData>
            </a:graphic>
          </wp:anchor>
        </w:drawing>
      </w:r>
      <w:r>
        <w:rPr>
          <w:noProof/>
          <w:lang w:val="ru-RU" w:eastAsia="ru-RU" w:bidi="ar-SA"/>
        </w:rPr>
        <mc:AlternateContent>
          <mc:Choice Requires="wps">
            <w:drawing>
              <wp:anchor distT="1578610" distB="0" distL="114300" distR="117475" simplePos="0" relativeHeight="251659776" behindDoc="0" locked="0" layoutInCell="1" allowOverlap="1" wp14:anchorId="21788E98" wp14:editId="60254351">
                <wp:simplePos x="0" y="0"/>
                <wp:positionH relativeFrom="page">
                  <wp:posOffset>431800</wp:posOffset>
                </wp:positionH>
                <wp:positionV relativeFrom="margin">
                  <wp:posOffset>7552690</wp:posOffset>
                </wp:positionV>
                <wp:extent cx="1524000" cy="1234440"/>
                <wp:effectExtent l="0" t="0" r="0" b="0"/>
                <wp:wrapSquare wrapText="right"/>
                <wp:docPr id="22" name="Shape 22"/>
                <wp:cNvGraphicFramePr/>
                <a:graphic xmlns:a="http://schemas.openxmlformats.org/drawingml/2006/main">
                  <a:graphicData uri="http://schemas.microsoft.com/office/word/2010/wordprocessingShape">
                    <wps:wsp>
                      <wps:cNvSpPr txBox="1"/>
                      <wps:spPr>
                        <a:xfrm>
                          <a:off x="0" y="0"/>
                          <a:ext cx="1524000" cy="1234440"/>
                        </a:xfrm>
                        <a:prstGeom prst="rect">
                          <a:avLst/>
                        </a:prstGeom>
                        <a:noFill/>
                      </wps:spPr>
                      <wps:txbx>
                        <w:txbxContent>
                          <w:p w14:paraId="087C7B47" w14:textId="77777777" w:rsidR="00062B98" w:rsidRPr="00CE5466" w:rsidRDefault="00062B98">
                            <w:pPr>
                              <w:pStyle w:val="Bodytext30"/>
                              <w:jc w:val="both"/>
                              <w:rPr>
                                <w:lang w:val="ru-RU"/>
                              </w:rPr>
                            </w:pPr>
                            <w:r>
                              <w:rPr>
                                <w:rStyle w:val="Bodytext3"/>
                                <w:b/>
                                <w:bCs/>
                                <w:lang w:val="ru-RU"/>
                              </w:rPr>
                              <w:t>Авторское право:</w:t>
                            </w:r>
                            <w:r>
                              <w:rPr>
                                <w:rStyle w:val="Bodytext3"/>
                                <w:lang w:val="ru-RU"/>
                              </w:rPr>
                              <w:t xml:space="preserve"> © 2022 авторы. Лицензиат MDPI, Базель, Швейцария. Данная статья является статьей открытого доступа, распространяемой в соответствии с условиями лицензии Creative Commons с указанием авторства (CC BY) </w:t>
                            </w:r>
                            <w:hyperlink r:id="rId38" w:history="1">
                              <w:r>
                                <w:rPr>
                                  <w:rStyle w:val="Bodytext3"/>
                                  <w:lang w:val="ru-RU"/>
                                </w:rPr>
                                <w:t>(https://</w:t>
                              </w:r>
                            </w:hyperlink>
                            <w:r>
                              <w:rPr>
                                <w:rStyle w:val="Bodytext3"/>
                                <w:lang w:val="ru-RU"/>
                              </w:rPr>
                              <w:t xml:space="preserve"> </w:t>
                            </w:r>
                            <w:hyperlink r:id="rId39" w:history="1">
                              <w:r>
                                <w:rPr>
                                  <w:rStyle w:val="Bodytext3"/>
                                  <w:lang w:val="ru-RU"/>
                                </w:rPr>
                                <w:t>creativecommons.org/licenses/by /</w:t>
                              </w:r>
                            </w:hyperlink>
                            <w:r>
                              <w:rPr>
                                <w:rStyle w:val="Bodytext3"/>
                                <w:lang w:val="ru-RU"/>
                              </w:rPr>
                              <w:t xml:space="preserve"> 4.0/).</w:t>
                            </w:r>
                          </w:p>
                        </w:txbxContent>
                      </wps:txbx>
                      <wps:bodyPr lIns="0" tIns="0" rIns="0" bIns="0"/>
                    </wps:wsp>
                  </a:graphicData>
                </a:graphic>
              </wp:anchor>
            </w:drawing>
          </mc:Choice>
          <mc:Fallback>
            <w:pict>
              <v:shape w14:anchorId="21788E98" id="Shape 22" o:spid="_x0000_s1028" type="#_x0000_t202" style="position:absolute;left:0;text-align:left;margin-left:34pt;margin-top:594.7pt;width:120pt;height:97.2pt;z-index:251659776;visibility:visible;mso-wrap-style:square;mso-wrap-distance-left:9pt;mso-wrap-distance-top:124.3pt;mso-wrap-distance-right:9.2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" filled="f" stroked="f">
                <v:textbox inset="0,0,0,0">
                  <w:txbxContent>
                    <w:p w14:paraId="087C7B47" w14:textId="77777777" w:rsidR="00062B98" w:rsidRPr="00CE5466" w:rsidRDefault="00062B98">
                      <w:pPr>
                        <w:pStyle w:val="Bodytext30"/>
                        <w:jc w:val="both"/>
                        <w:rPr>
                          <w:lang w:val="ru-RU"/>
                        </w:rPr>
                      </w:pPr>
                      <w:r>
                        <w:rPr>
                          <w:rStyle w:val="Bodytext3"/>
                          <w:b/>
                          <w:bCs/>
                          <w:lang w:val="ru-RU"/>
                        </w:rPr>
                        <w:t>Авторское право:</w:t>
                      </w:r>
                      <w:r>
                        <w:rPr>
                          <w:rStyle w:val="Bodytext3"/>
                          <w:lang w:val="ru-RU"/>
                        </w:rPr>
                        <w:t xml:space="preserve"> © 2022 авторы. Лицензиат MDPI, Базель, Швейцария. Данная статья является статьей открытого доступа, распространяемой в соответствии с условиями лицензии Creative Commons с указанием авторства (CC BY) </w:t>
                      </w:r>
                      <w:hyperlink r:id="rId40" w:history="1">
                        <w:r>
                          <w:rPr>
                            <w:rStyle w:val="Bodytext3"/>
                            <w:lang w:val="ru-RU"/>
                          </w:rPr>
                          <w:t>(https://</w:t>
                        </w:r>
                      </w:hyperlink>
                      <w:r>
                        <w:rPr>
                          <w:rStyle w:val="Bodytext3"/>
                          <w:lang w:val="ru-RU"/>
                        </w:rPr>
                        <w:t xml:space="preserve"> </w:t>
                      </w:r>
                      <w:hyperlink r:id="rId41" w:history="1">
                        <w:r>
                          <w:rPr>
                            <w:rStyle w:val="Bodytext3"/>
                            <w:lang w:val="ru-RU"/>
                          </w:rPr>
                          <w:t>creativecommons.org/licenses/by /</w:t>
                        </w:r>
                      </w:hyperlink>
                      <w:r>
                        <w:rPr>
                          <w:rStyle w:val="Bodytext3"/>
                          <w:lang w:val="ru-RU"/>
                        </w:rPr>
                        <w:t xml:space="preserve"> 4.0/).</w:t>
                      </w:r>
                    </w:p>
                  </w:txbxContent>
                </v:textbox>
                <w10:wrap type="square" side="right" anchorx="page" anchory="margin"/>
              </v:shape>
            </w:pict>
          </mc:Fallback>
        </mc:AlternateContent>
      </w:r>
      <w:bookmarkStart w:id="0" w:name="bookmark0"/>
      <w:r w:rsidR="00CE5466" w:rsidRPr="00CE5466">
        <w:rPr>
          <w:rStyle w:val="Bodytext3"/>
          <w:lang w:val="ru-RU"/>
        </w:rPr>
        <w:t xml:space="preserve">      </w:t>
      </w:r>
      <w:r w:rsidR="00CE5466">
        <w:rPr>
          <w:rStyle w:val="Heading11"/>
          <w:b w:val="0"/>
          <w:bCs w:val="0"/>
          <w:lang w:val="ru-RU"/>
        </w:rPr>
        <w:t xml:space="preserve">         </w:t>
      </w:r>
      <w:r w:rsidR="00DA3E37">
        <w:rPr>
          <w:rStyle w:val="Heading11"/>
          <w:bCs w:val="0"/>
          <w:lang w:val="ru-RU"/>
        </w:rPr>
        <w:t>1.</w:t>
      </w:r>
      <w:r w:rsidR="00CE5466" w:rsidRPr="00CE5466">
        <w:rPr>
          <w:rStyle w:val="Heading11"/>
          <w:b w:val="0"/>
          <w:bCs w:val="0"/>
          <w:lang w:val="ru-RU"/>
        </w:rPr>
        <w:t xml:space="preserve">  </w:t>
      </w:r>
      <w:r>
        <w:rPr>
          <w:rStyle w:val="Heading11"/>
          <w:lang w:val="ru-RU"/>
        </w:rPr>
        <w:t>Вступление</w:t>
      </w:r>
      <w:bookmarkEnd w:id="0"/>
    </w:p>
    <w:p w14:paraId="7DD458AA" w14:textId="77777777" w:rsidR="00D567C0" w:rsidRPr="00CE5466" w:rsidRDefault="00F96AE2" w:rsidP="003730C9">
      <w:pPr>
        <w:pStyle w:val="Bodytext10"/>
        <w:spacing w:after="0"/>
        <w:ind w:left="2552" w:firstLine="0"/>
        <w:jc w:val="both"/>
        <w:rPr>
          <w:lang w:val="ru-RU"/>
        </w:rPr>
      </w:pPr>
      <w:r>
        <w:rPr>
          <w:rStyle w:val="Bodytext1"/>
          <w:lang w:val="ru-RU"/>
        </w:rPr>
        <w:t xml:space="preserve">Рак поджелудочной железы (РПЖ) представляет собой агрессивный рак с высоким уровнем смертности и неблагоприятным прогнозом. В последнее время было проведено множество исследований по новым методам лечения РПЖ, однако, уровень смертности пациентов с РПЖ продолжает расти </w:t>
      </w:r>
      <w:hyperlink w:anchor="bookmark33" w:tooltip="Current Document" w:history="1">
        <w:r>
          <w:rPr>
            <w:rStyle w:val="Bodytext1"/>
            <w:lang w:val="ru-RU"/>
          </w:rPr>
          <w:t>[</w:t>
        </w:r>
        <w:r>
          <w:rPr>
            <w:rStyle w:val="Bodytext1"/>
            <w:color w:val="0875B7"/>
            <w:lang w:val="ru-RU"/>
          </w:rPr>
          <w:t>1</w:t>
        </w:r>
        <w:r>
          <w:rPr>
            <w:rStyle w:val="Bodytext1"/>
            <w:lang w:val="ru-RU"/>
          </w:rPr>
          <w:t>]</w:t>
        </w:r>
      </w:hyperlink>
      <w:r>
        <w:rPr>
          <w:rStyle w:val="Bodytext1"/>
          <w:lang w:val="ru-RU"/>
        </w:rPr>
        <w:t xml:space="preserve">. Согласно статистике Американского онкологического сообщества, известно, что 5-летняя общая выживаемость при РПЖ в целом составляет 11%, несмотря на то, что это зависит от прогрессирования опухоли. При этом если рак прогрессировал до отдаленных метастазов, 5-летняя общая выживаемость составляет всего около 3%. Это </w:t>
      </w:r>
      <w:r>
        <w:rPr>
          <w:rStyle w:val="Bodytext1"/>
          <w:lang w:val="ru-RU"/>
        </w:rPr>
        <w:lastRenderedPageBreak/>
        <w:t xml:space="preserve">говорит о том, что раннее выявление и лечение опухолей критически важны для лечения РПЖ </w:t>
      </w:r>
      <w:hyperlink w:anchor="bookmark33" w:tooltip="Current Document" w:history="1">
        <w:r>
          <w:rPr>
            <w:rStyle w:val="Bodytext1"/>
            <w:lang w:val="ru-RU"/>
          </w:rPr>
          <w:t>[</w:t>
        </w:r>
        <w:r>
          <w:rPr>
            <w:rStyle w:val="Bodytext1"/>
            <w:color w:val="0875B7"/>
            <w:lang w:val="ru-RU"/>
          </w:rPr>
          <w:t>1-3</w:t>
        </w:r>
      </w:hyperlink>
      <w:hyperlink w:anchor="bookmark34" w:tooltip="Current Document" w:history="1">
        <w:r>
          <w:rPr>
            <w:rStyle w:val="Bodytext1"/>
            <w:lang w:val="ru-RU"/>
          </w:rPr>
          <w:t>]</w:t>
        </w:r>
      </w:hyperlink>
      <w:r>
        <w:rPr>
          <w:rStyle w:val="Bodytext1"/>
          <w:lang w:val="ru-RU"/>
        </w:rPr>
        <w:t>. В самом деле, заболеваемость РПЖ продолжает расти во всех регионах и группах населения; однако лишь 10% пациентов пригодны для хирургического вмешательства на момент постановки диагноза, поскольку ранняя диагн</w:t>
      </w:r>
      <w:r w:rsidR="003C1FB7">
        <w:rPr>
          <w:rStyle w:val="Bodytext1"/>
          <w:lang w:val="ru-RU"/>
        </w:rPr>
        <w:t>остика представляет собой сложну</w:t>
      </w:r>
      <w:r>
        <w:rPr>
          <w:rStyle w:val="Bodytext1"/>
          <w:lang w:val="ru-RU"/>
        </w:rPr>
        <w:t xml:space="preserve">ю задачу </w:t>
      </w:r>
      <w:hyperlink w:anchor="bookmark34" w:tooltip="Current Document" w:history="1">
        <w:r>
          <w:rPr>
            <w:rStyle w:val="Bodytext1"/>
            <w:lang w:val="ru-RU"/>
          </w:rPr>
          <w:t>[</w:t>
        </w:r>
        <w:r>
          <w:rPr>
            <w:rStyle w:val="Bodytext1"/>
            <w:color w:val="0875B7"/>
            <w:lang w:val="ru-RU"/>
          </w:rPr>
          <w:t>3-6</w:t>
        </w:r>
      </w:hyperlink>
      <w:hyperlink w:anchor="bookmark37" w:tooltip="Current Document" w:history="1">
        <w:r>
          <w:rPr>
            <w:rStyle w:val="Bodytext1"/>
            <w:lang w:val="ru-RU"/>
          </w:rPr>
          <w:t>]</w:t>
        </w:r>
      </w:hyperlink>
      <w:r>
        <w:rPr>
          <w:rStyle w:val="Bodytext1"/>
          <w:lang w:val="ru-RU"/>
        </w:rPr>
        <w:t xml:space="preserve">. Было выполнено большое количество исследований, направленных на повышение выживаемости пациентов с раковыми заболеваниями; они включали цитотоксическую химиотерапию, низкомолекулярные ингибиторы, моноклональные антитела и программирование адаптивного иммунитета; однако хирургическое удаление по-прежнему является самым результативным методом лечения РПЖ </w:t>
      </w:r>
      <w:hyperlink w:anchor="bookmark36" w:tooltip="Current Document" w:history="1">
        <w:r>
          <w:rPr>
            <w:rStyle w:val="Bodytext1"/>
            <w:lang w:val="ru-RU"/>
          </w:rPr>
          <w:t>[</w:t>
        </w:r>
        <w:r>
          <w:rPr>
            <w:rStyle w:val="Bodytext1"/>
            <w:color w:val="0875B7"/>
            <w:lang w:val="ru-RU"/>
          </w:rPr>
          <w:t>4,7,8</w:t>
        </w:r>
      </w:hyperlink>
      <w:hyperlink w:anchor="bookmark39" w:tooltip="Current Document" w:history="1">
        <w:r>
          <w:rPr>
            <w:rStyle w:val="Bodytext1"/>
            <w:lang w:val="ru-RU"/>
          </w:rPr>
          <w:t>]</w:t>
        </w:r>
      </w:hyperlink>
      <w:r>
        <w:rPr>
          <w:rStyle w:val="Bodytext1"/>
          <w:lang w:val="ru-RU"/>
        </w:rPr>
        <w:t xml:space="preserve">. Гемцитабин является наиболее часто используемым и эффективным химиотерапевтическим средством при РПЖ. К сожалению, последние достижения в терапевтических и хирургических методах лечения РПЖ не привели к улучшению 5-летней выживаемости </w:t>
      </w:r>
      <w:hyperlink w:anchor="bookmark37" w:tooltip="Current Document" w:history="1">
        <w:r>
          <w:rPr>
            <w:rStyle w:val="Bodytext1"/>
            <w:lang w:val="ru-RU"/>
          </w:rPr>
          <w:t>[</w:t>
        </w:r>
        <w:r>
          <w:rPr>
            <w:rStyle w:val="Bodytext1"/>
            <w:color w:val="0875B7"/>
            <w:lang w:val="ru-RU"/>
          </w:rPr>
          <w:t>6</w:t>
        </w:r>
        <w:r>
          <w:rPr>
            <w:rStyle w:val="Bodytext1"/>
            <w:lang w:val="ru-RU"/>
          </w:rPr>
          <w:t>]</w:t>
        </w:r>
      </w:hyperlink>
      <w:r>
        <w:rPr>
          <w:rStyle w:val="Bodytext1"/>
          <w:lang w:val="ru-RU"/>
        </w:rPr>
        <w:t>. По этой причине очень необходимы усовершенствованные терапевтические стратегии, основанные на гемцитабине.</w:t>
      </w:r>
    </w:p>
    <w:p w14:paraId="565A6393" w14:textId="77777777" w:rsidR="00D567C0" w:rsidRPr="00CE5466" w:rsidRDefault="00F96AE2">
      <w:pPr>
        <w:pStyle w:val="Bodytext10"/>
        <w:spacing w:after="0"/>
        <w:ind w:left="2620" w:firstLine="440"/>
        <w:jc w:val="both"/>
        <w:rPr>
          <w:lang w:val="ru-RU"/>
        </w:rPr>
      </w:pPr>
      <w:r>
        <w:rPr>
          <w:rStyle w:val="Bodytext1"/>
          <w:lang w:val="ru-RU"/>
        </w:rPr>
        <w:t xml:space="preserve">Глутамин - это важная аминокислота, играющая решающую роль в поддержании и стимулировании функции раковых клеток. Метаболизм глутамина играет важнейшую роль для клеточной пролиферации и синтеза белка, поскольку аминокислота используется в качестве митохондриального субстрата для производства энергии и биосинтеза. Он также обеспечивает азот для синтеза нуклеотидов и активирует mTORC1 в клетках для регуляции сигнальных путей и поддержания окислительно-восстановительного гомеостаза </w:t>
      </w:r>
      <w:hyperlink w:anchor="bookmark40" w:tooltip="Current Document" w:history="1">
        <w:r>
          <w:rPr>
            <w:rStyle w:val="Bodytext1"/>
            <w:lang w:val="ru-RU"/>
          </w:rPr>
          <w:t>[</w:t>
        </w:r>
        <w:r>
          <w:rPr>
            <w:rStyle w:val="Bodytext1"/>
            <w:color w:val="0875B7"/>
            <w:lang w:val="ru-RU"/>
          </w:rPr>
          <w:t>9-17</w:t>
        </w:r>
      </w:hyperlink>
      <w:hyperlink w:anchor="bookmark41" w:tooltip="Current Document" w:history="1">
        <w:r>
          <w:rPr>
            <w:rStyle w:val="Bodytext1"/>
            <w:lang w:val="ru-RU"/>
          </w:rPr>
          <w:t>]</w:t>
        </w:r>
      </w:hyperlink>
      <w:r>
        <w:rPr>
          <w:rStyle w:val="Bodytext1"/>
          <w:lang w:val="ru-RU"/>
        </w:rPr>
        <w:t xml:space="preserve">. Роль метаболизма глутамина исследовалась при раке молочной железы, раке печени, раке легких, раке яичников и раке почек </w:t>
      </w:r>
      <w:hyperlink w:anchor="bookmark42" w:tooltip="Current Document" w:history="1">
        <w:r>
          <w:rPr>
            <w:rStyle w:val="Bodytext1"/>
            <w:lang w:val="ru-RU"/>
          </w:rPr>
          <w:t>[</w:t>
        </w:r>
        <w:r>
          <w:rPr>
            <w:rStyle w:val="Bodytext1"/>
            <w:color w:val="0875B7"/>
            <w:lang w:val="ru-RU"/>
          </w:rPr>
          <w:t>18-23</w:t>
        </w:r>
      </w:hyperlink>
      <w:hyperlink w:anchor="bookmark43" w:tooltip="Current Document" w:history="1">
        <w:r>
          <w:rPr>
            <w:rStyle w:val="Bodytext1"/>
            <w:lang w:val="ru-RU"/>
          </w:rPr>
          <w:t>]</w:t>
        </w:r>
      </w:hyperlink>
      <w:r>
        <w:rPr>
          <w:rStyle w:val="Bodytext1"/>
          <w:lang w:val="ru-RU"/>
        </w:rPr>
        <w:t xml:space="preserve">. Фактически, в некоторых опухолях, включая РПЖ, феномен, называемый “глутаминовой зависимостью”, показывает, что рак не способен выживать без экзогенных добавок глутамина </w:t>
      </w:r>
      <w:hyperlink w:anchor="bookmark44" w:tooltip="Current Document" w:history="1">
        <w:r>
          <w:rPr>
            <w:rStyle w:val="Bodytext1"/>
            <w:lang w:val="ru-RU"/>
          </w:rPr>
          <w:t>[</w:t>
        </w:r>
        <w:r>
          <w:rPr>
            <w:rStyle w:val="Bodytext1"/>
            <w:color w:val="0875B7"/>
            <w:lang w:val="ru-RU"/>
          </w:rPr>
          <w:t>24,25</w:t>
        </w:r>
      </w:hyperlink>
      <w:hyperlink w:anchor="bookmark45" w:tooltip="Current Document" w:history="1">
        <w:r>
          <w:rPr>
            <w:rStyle w:val="Bodytext1"/>
            <w:lang w:val="ru-RU"/>
          </w:rPr>
          <w:t>]</w:t>
        </w:r>
      </w:hyperlink>
      <w:r>
        <w:rPr>
          <w:rStyle w:val="Bodytext1"/>
          <w:lang w:val="ru-RU"/>
        </w:rPr>
        <w:t>. Вышеупомянутые исследования предполагают, что потенциальные терапевтические подходы следует направить на метаболизм глутамина в раковых клетках.</w:t>
      </w:r>
    </w:p>
    <w:p w14:paraId="64AAD4F1" w14:textId="77777777" w:rsidR="00D567C0" w:rsidRPr="00CE5466" w:rsidRDefault="00F96AE2">
      <w:pPr>
        <w:pStyle w:val="Bodytext10"/>
        <w:spacing w:after="0"/>
        <w:ind w:left="2620" w:firstLine="440"/>
        <w:jc w:val="both"/>
        <w:rPr>
          <w:lang w:val="ru-RU"/>
        </w:rPr>
      </w:pPr>
      <w:r>
        <w:rPr>
          <w:rStyle w:val="Bodytext1"/>
          <w:lang w:val="ru-RU"/>
        </w:rPr>
        <w:t>Транспортеры аминокислот представляют собой белки, связанные с плазматической мембраной, которые избирательно</w:t>
      </w:r>
      <w:r>
        <w:rPr>
          <w:rStyle w:val="Bodytext1"/>
          <w:lang w:val="ru-RU"/>
        </w:rPr>
        <w:softHyphen/>
        <w:t xml:space="preserve"> переносят определенные аминокислоты в клетки и их органеллы, а также из них </w:t>
      </w:r>
      <w:hyperlink w:anchor="bookmark46" w:tooltip="Current Document" w:history="1">
        <w:r>
          <w:rPr>
            <w:rStyle w:val="Bodytext1"/>
            <w:lang w:val="ru-RU"/>
          </w:rPr>
          <w:t>[</w:t>
        </w:r>
        <w:r>
          <w:rPr>
            <w:rStyle w:val="Bodytext1"/>
            <w:color w:val="0875B7"/>
            <w:lang w:val="ru-RU"/>
          </w:rPr>
          <w:t>26</w:t>
        </w:r>
      </w:hyperlink>
      <w:hyperlink w:anchor="bookmark47" w:tooltip="Current Document" w:history="1">
        <w:r w:rsidR="0067182A">
          <w:rPr>
            <w:rStyle w:val="Bodytext1"/>
            <w:lang w:val="ru-RU"/>
          </w:rPr>
          <w:t>,</w:t>
        </w:r>
        <w:r>
          <w:rPr>
            <w:rStyle w:val="Bodytext1"/>
            <w:color w:val="0875B7"/>
            <w:lang w:val="ru-RU"/>
          </w:rPr>
          <w:t>27</w:t>
        </w:r>
        <w:r>
          <w:rPr>
            <w:rStyle w:val="Bodytext1"/>
            <w:lang w:val="ru-RU"/>
          </w:rPr>
          <w:t>]</w:t>
        </w:r>
      </w:hyperlink>
      <w:r>
        <w:rPr>
          <w:rStyle w:val="Bodytext1"/>
          <w:lang w:val="ru-RU"/>
        </w:rPr>
        <w:t xml:space="preserve"> . Среди этих переносчиков SLC6A14 взаимодействует с широким спектром субстратов, включая все нейтральные и катионные аминокислоты; исключениями являются глутамат и аспартат. Переносчики используют энергию, обеспечиваемую градиентами Na</w:t>
      </w:r>
      <w:r>
        <w:rPr>
          <w:rStyle w:val="Bodytext1"/>
          <w:vertAlign w:val="superscript"/>
          <w:lang w:val="ru-RU"/>
        </w:rPr>
        <w:t>+</w:t>
      </w:r>
      <w:r>
        <w:rPr>
          <w:rStyle w:val="Bodytext1"/>
          <w:lang w:val="ru-RU"/>
        </w:rPr>
        <w:t xml:space="preserve"> и Cl</w:t>
      </w:r>
      <w:r>
        <w:rPr>
          <w:rStyle w:val="Bodytext1"/>
          <w:sz w:val="13"/>
          <w:szCs w:val="13"/>
          <w:vertAlign w:val="superscript"/>
          <w:lang w:val="ru-RU"/>
        </w:rPr>
        <w:t>-</w:t>
      </w:r>
      <w:r>
        <w:rPr>
          <w:rStyle w:val="Bodytext1"/>
          <w:lang w:val="ru-RU"/>
        </w:rPr>
        <w:t xml:space="preserve">, а также мембранным потенциалом, для поступления аминокислот в клетки. SLC6A14 играет важную роль в поглощении глутамина и, следовательно, в выживании раковых клеток </w:t>
      </w:r>
      <w:hyperlink w:anchor="bookmark48" w:tooltip="Current Document" w:history="1">
        <w:r>
          <w:rPr>
            <w:rStyle w:val="Bodytext1"/>
            <w:lang w:val="ru-RU"/>
          </w:rPr>
          <w:t>[</w:t>
        </w:r>
        <w:r>
          <w:rPr>
            <w:rStyle w:val="Bodytext1"/>
            <w:color w:val="0875B7"/>
            <w:lang w:val="ru-RU"/>
          </w:rPr>
          <w:t>28</w:t>
        </w:r>
      </w:hyperlink>
      <w:hyperlink w:anchor="bookmark49" w:tooltip="Current Document" w:history="1">
        <w:r>
          <w:rPr>
            <w:rStyle w:val="Bodytext1"/>
            <w:lang w:val="ru-RU"/>
          </w:rPr>
          <w:t>,</w:t>
        </w:r>
        <w:r>
          <w:rPr>
            <w:rStyle w:val="Bodytext1"/>
            <w:color w:val="0875B7"/>
            <w:lang w:val="ru-RU"/>
          </w:rPr>
          <w:t>29</w:t>
        </w:r>
        <w:r>
          <w:rPr>
            <w:rStyle w:val="Bodytext1"/>
            <w:lang w:val="ru-RU"/>
          </w:rPr>
          <w:t>]</w:t>
        </w:r>
      </w:hyperlink>
      <w:r>
        <w:rPr>
          <w:rStyle w:val="Bodytext1"/>
          <w:lang w:val="ru-RU"/>
        </w:rPr>
        <w:t xml:space="preserve">. SLC6A14 повышается при многих различных типах рака, включая рак толстой кишки, рак шейки матки, рак молочной железы с положительным рецептором эстрогена, РПЖ и остеосаркому </w:t>
      </w:r>
      <w:hyperlink w:anchor="bookmark50" w:tooltip="Current Document" w:history="1">
        <w:r>
          <w:rPr>
            <w:rStyle w:val="Bodytext1"/>
            <w:lang w:val="ru-RU"/>
          </w:rPr>
          <w:t>[</w:t>
        </w:r>
        <w:r>
          <w:rPr>
            <w:rStyle w:val="Bodytext1"/>
            <w:color w:val="0875B7"/>
            <w:lang w:val="ru-RU"/>
          </w:rPr>
          <w:t>30</w:t>
        </w:r>
      </w:hyperlink>
      <w:hyperlink w:anchor="bookmark55" w:tooltip="Current Document" w:history="1">
        <w:r>
          <w:rPr>
            <w:rStyle w:val="Bodytext1"/>
            <w:lang w:val="ru-RU"/>
          </w:rPr>
          <w:t>-</w:t>
        </w:r>
        <w:r>
          <w:rPr>
            <w:rStyle w:val="Bodytext1"/>
            <w:color w:val="0875B7"/>
            <w:lang w:val="ru-RU"/>
          </w:rPr>
          <w:t>36</w:t>
        </w:r>
        <w:r>
          <w:rPr>
            <w:rStyle w:val="Bodytext1"/>
            <w:lang w:val="ru-RU"/>
          </w:rPr>
          <w:t>]</w:t>
        </w:r>
      </w:hyperlink>
      <w:r>
        <w:rPr>
          <w:rStyle w:val="Bodytext1"/>
          <w:lang w:val="ru-RU"/>
        </w:rPr>
        <w:t>.</w:t>
      </w:r>
    </w:p>
    <w:p w14:paraId="08B819E4" w14:textId="77777777" w:rsidR="00D567C0" w:rsidRPr="00CE5466" w:rsidRDefault="00F96AE2">
      <w:pPr>
        <w:pStyle w:val="Bodytext10"/>
        <w:spacing w:after="0"/>
        <w:ind w:left="2620" w:firstLine="440"/>
        <w:jc w:val="both"/>
        <w:rPr>
          <w:lang w:val="ru-RU"/>
        </w:rPr>
      </w:pPr>
      <w:r>
        <w:rPr>
          <w:rStyle w:val="Bodytext1"/>
          <w:lang w:val="ru-RU"/>
        </w:rPr>
        <w:t xml:space="preserve">Аллоферон - это короткий пептид, который был впервые выделен из крови личинок </w:t>
      </w:r>
      <w:r>
        <w:rPr>
          <w:rStyle w:val="Bodytext1"/>
          <w:i/>
          <w:iCs/>
          <w:lang w:val="ru-RU"/>
        </w:rPr>
        <w:t>Calliphora</w:t>
      </w:r>
      <w:r>
        <w:rPr>
          <w:rStyle w:val="Bodytext1"/>
          <w:lang w:val="ru-RU"/>
        </w:rPr>
        <w:t xml:space="preserve"> </w:t>
      </w:r>
      <w:r w:rsidRPr="0067182A">
        <w:rPr>
          <w:rStyle w:val="Bodytext1"/>
          <w:i/>
          <w:lang w:val="ru-RU"/>
        </w:rPr>
        <w:t>vincina</w:t>
      </w:r>
      <w:r>
        <w:rPr>
          <w:rStyle w:val="Bodytext1"/>
          <w:lang w:val="ru-RU"/>
        </w:rPr>
        <w:t xml:space="preserve"> после заражения бактериями. Существует два варианта аллоферона, аллоферон 1 и аллоферон 2. Они различаются по количеству аминокислот в пептидной цепи: 13 и 12 соответственно </w:t>
      </w:r>
      <w:hyperlink w:anchor="bookmark56" w:tooltip="Current Document" w:history="1">
        <w:r>
          <w:rPr>
            <w:rStyle w:val="Bodytext1"/>
            <w:lang w:val="ru-RU"/>
          </w:rPr>
          <w:t>[</w:t>
        </w:r>
        <w:r>
          <w:rPr>
            <w:rStyle w:val="Bodytext1"/>
            <w:color w:val="0875B7"/>
            <w:lang w:val="ru-RU"/>
          </w:rPr>
          <w:t>37</w:t>
        </w:r>
        <w:r>
          <w:rPr>
            <w:rStyle w:val="Bodytext1"/>
            <w:lang w:val="ru-RU"/>
          </w:rPr>
          <w:t>]</w:t>
        </w:r>
      </w:hyperlink>
      <w:r>
        <w:rPr>
          <w:rStyle w:val="Bodytext1"/>
          <w:lang w:val="ru-RU"/>
        </w:rPr>
        <w:t xml:space="preserve">. Есть несколько сообщений о роли аллоферона в качестве противовирусного, противовоспалительного и противоопухолевого средства </w:t>
      </w:r>
      <w:hyperlink w:anchor="bookmark57" w:tooltip="Current Document" w:history="1">
        <w:r>
          <w:rPr>
            <w:rStyle w:val="Bodytext1"/>
            <w:lang w:val="ru-RU"/>
          </w:rPr>
          <w:t>[</w:t>
        </w:r>
        <w:r>
          <w:rPr>
            <w:rStyle w:val="Bodytext1"/>
            <w:color w:val="0875B7"/>
            <w:lang w:val="ru-RU"/>
          </w:rPr>
          <w:t>38</w:t>
        </w:r>
      </w:hyperlink>
      <w:hyperlink w:anchor="bookmark60" w:tooltip="Current Document" w:history="1">
        <w:r w:rsidR="0067182A">
          <w:rPr>
            <w:rStyle w:val="Bodytext1"/>
            <w:lang w:val="ru-RU"/>
          </w:rPr>
          <w:t>-</w:t>
        </w:r>
        <w:r>
          <w:rPr>
            <w:rStyle w:val="Bodytext1"/>
            <w:color w:val="0875B7"/>
            <w:lang w:val="ru-RU"/>
          </w:rPr>
          <w:t>42</w:t>
        </w:r>
        <w:r>
          <w:rPr>
            <w:rStyle w:val="Bodytext1"/>
            <w:lang w:val="ru-RU"/>
          </w:rPr>
          <w:t>]</w:t>
        </w:r>
      </w:hyperlink>
      <w:r>
        <w:rPr>
          <w:rStyle w:val="Bodytext1"/>
          <w:lang w:val="ru-RU"/>
        </w:rPr>
        <w:t>. Предыдущие исследования показали, что аллоферон имеет противоопухолевый эффект в отношении рака предстательной железы и колоректального рака. Однако его действие в отношении РПЖ неизвестно.</w:t>
      </w:r>
    </w:p>
    <w:p w14:paraId="19C5E85E" w14:textId="77777777" w:rsidR="00D567C0" w:rsidRPr="00CE5466" w:rsidRDefault="00F96AE2">
      <w:pPr>
        <w:pStyle w:val="Bodytext10"/>
        <w:spacing w:after="180"/>
        <w:ind w:left="2620" w:firstLine="440"/>
        <w:jc w:val="both"/>
        <w:rPr>
          <w:lang w:val="ru-RU"/>
        </w:rPr>
      </w:pPr>
      <w:r>
        <w:rPr>
          <w:rStyle w:val="Bodytext1"/>
          <w:lang w:val="ru-RU"/>
        </w:rPr>
        <w:t xml:space="preserve">Таким образом, цель данного исследования заключалось в изучении противоопухолевых эффектов аллоферона в качестве адъюванта гемцитабина. Результаты показывают, что аллоферон регулирует экспрессию SLC6A14 на </w:t>
      </w:r>
      <w:r w:rsidR="007C5C56">
        <w:rPr>
          <w:rStyle w:val="Bodytext1"/>
          <w:lang w:val="ru-RU"/>
        </w:rPr>
        <w:t>РПЖ</w:t>
      </w:r>
      <w:r>
        <w:rPr>
          <w:rStyle w:val="Bodytext1"/>
          <w:lang w:val="ru-RU"/>
        </w:rPr>
        <w:t>, тем самым ингибируя поглощение глутамина. Таким образом, аллоферон является новой многообещающей терапевтической стратегией при РПЖ.</w:t>
      </w:r>
    </w:p>
    <w:p w14:paraId="58701BE3" w14:textId="77777777" w:rsidR="00D567C0" w:rsidRDefault="00F96AE2" w:rsidP="00DA3E37">
      <w:pPr>
        <w:pStyle w:val="Heading110"/>
        <w:keepNext/>
        <w:keepLines/>
        <w:numPr>
          <w:ilvl w:val="0"/>
          <w:numId w:val="5"/>
        </w:numPr>
        <w:tabs>
          <w:tab w:val="left" w:pos="2894"/>
        </w:tabs>
        <w:jc w:val="both"/>
      </w:pPr>
      <w:bookmarkStart w:id="1" w:name="bookmark2"/>
      <w:r>
        <w:rPr>
          <w:rStyle w:val="Heading11"/>
          <w:b/>
          <w:bCs/>
          <w:lang w:val="ru-RU"/>
        </w:rPr>
        <w:t>Материалы и методы</w:t>
      </w:r>
      <w:bookmarkEnd w:id="1"/>
    </w:p>
    <w:p w14:paraId="5FEAC714" w14:textId="77777777" w:rsidR="00D567C0" w:rsidRDefault="00F96AE2" w:rsidP="00DA3E37">
      <w:pPr>
        <w:pStyle w:val="Heading210"/>
        <w:keepNext/>
        <w:keepLines/>
        <w:numPr>
          <w:ilvl w:val="1"/>
          <w:numId w:val="6"/>
        </w:numPr>
        <w:tabs>
          <w:tab w:val="left" w:pos="3038"/>
        </w:tabs>
        <w:spacing w:after="0"/>
        <w:jc w:val="both"/>
      </w:pPr>
      <w:bookmarkStart w:id="2" w:name="bookmark4"/>
      <w:r>
        <w:rPr>
          <w:rStyle w:val="Heading21"/>
          <w:i/>
          <w:iCs/>
          <w:lang w:val="ru-RU"/>
        </w:rPr>
        <w:t>Культура клеток</w:t>
      </w:r>
      <w:bookmarkEnd w:id="2"/>
    </w:p>
    <w:p w14:paraId="4CE42E85" w14:textId="77777777" w:rsidR="00D567C0" w:rsidRPr="00CE5466" w:rsidRDefault="00F96AE2">
      <w:pPr>
        <w:pStyle w:val="Bodytext10"/>
        <w:spacing w:after="180"/>
        <w:ind w:left="2620" w:firstLine="440"/>
        <w:jc w:val="both"/>
        <w:rPr>
          <w:lang w:val="ru-RU"/>
        </w:rPr>
      </w:pPr>
      <w:r>
        <w:rPr>
          <w:rStyle w:val="Bodytext1"/>
          <w:lang w:val="ru-RU"/>
        </w:rPr>
        <w:t xml:space="preserve">Клеточные линии РПЖ человека Panc-1 и AsPC-1 были приобретены в Американской коллекции типовых культур (ATCC, Манассас, Вирджиния, США). Panc-1 культивировали в среде DMEM (GE Healthcare, Чикаго, Иллинойс, США) с добавлением 10% </w:t>
      </w:r>
      <w:r>
        <w:rPr>
          <w:rStyle w:val="Bodytext1"/>
          <w:lang w:val="ru-RU"/>
        </w:rPr>
        <w:lastRenderedPageBreak/>
        <w:t xml:space="preserve">термоинактивированной эмбриональной телячьей сыворотки (FBS; HyClone, Logan, UT, США) и антибиотиков (100 ед/мл пенициллина и 100 </w:t>
      </w:r>
      <w:r>
        <w:rPr>
          <w:rStyle w:val="Bodytext1"/>
          <w:sz w:val="17"/>
          <w:szCs w:val="17"/>
          <w:lang w:val="ru-RU"/>
        </w:rPr>
        <w:t>мкл</w:t>
      </w:r>
      <w:r>
        <w:rPr>
          <w:rStyle w:val="Bodytext1"/>
          <w:lang w:val="ru-RU"/>
        </w:rPr>
        <w:t xml:space="preserve"> г/мл стрептомицина; Welgene, Kyungsan, Корея). AsPC-1 выращивали в среде RPMI1640 (GIBCO, Гранд-Айленд, Нью-Йорк, США); этот состав RPMI был изменен ATCC для добавления 10% FBS и 1% пенициллина/стрептомицина. В экспериментах в эти среды для культивирования клеток добавляли 4 </w:t>
      </w:r>
      <w:r>
        <w:rPr>
          <w:rStyle w:val="Bodytext1"/>
          <w:sz w:val="17"/>
          <w:szCs w:val="17"/>
          <w:lang w:val="ru-RU"/>
        </w:rPr>
        <w:t>мкг</w:t>
      </w:r>
      <w:r>
        <w:rPr>
          <w:rStyle w:val="Bodytext1"/>
          <w:lang w:val="ru-RU"/>
        </w:rPr>
        <w:t>/мл аллоферона к клеткам в течение 3 недель. Контрольные клетки не подвергались обработке аллофероном. Клеточные линии инкубировали при 37</w:t>
      </w:r>
      <w:r w:rsidR="0067182A" w:rsidRPr="0067182A">
        <w:rPr>
          <w:rStyle w:val="Bodytext1"/>
          <w:sz w:val="24"/>
          <w:szCs w:val="13"/>
          <w:vertAlign w:val="superscript"/>
          <w:lang w:val="ru-RU"/>
        </w:rPr>
        <w:t>°</w:t>
      </w:r>
      <w:r>
        <w:rPr>
          <w:rStyle w:val="Bodytext1"/>
          <w:lang w:val="ru-RU"/>
        </w:rPr>
        <w:t>C в увлажненном инкубаторе, содержащем 5%</w:t>
      </w:r>
      <w:r w:rsidR="000B65C6">
        <w:rPr>
          <w:rStyle w:val="Bodytext1"/>
          <w:lang w:val="ru-RU"/>
        </w:rPr>
        <w:t xml:space="preserve"> </w:t>
      </w:r>
      <w:r w:rsidR="000B65C6">
        <w:rPr>
          <w:rStyle w:val="Bodytext1"/>
        </w:rPr>
        <w:t>CO</w:t>
      </w:r>
      <w:r w:rsidR="000B65C6" w:rsidRPr="000B65C6">
        <w:rPr>
          <w:rStyle w:val="Bodytext1"/>
          <w:vertAlign w:val="subscript"/>
          <w:lang w:val="ru-RU"/>
        </w:rPr>
        <w:t>2</w:t>
      </w:r>
      <w:r>
        <w:rPr>
          <w:rStyle w:val="Bodytext1"/>
          <w:lang w:val="ru-RU"/>
        </w:rPr>
        <w:t>.</w:t>
      </w:r>
    </w:p>
    <w:p w14:paraId="68D97F81" w14:textId="77777777" w:rsidR="00D567C0" w:rsidRDefault="00F96AE2" w:rsidP="00DA3E37">
      <w:pPr>
        <w:pStyle w:val="Heading210"/>
        <w:keepNext/>
        <w:keepLines/>
        <w:numPr>
          <w:ilvl w:val="1"/>
          <w:numId w:val="6"/>
        </w:numPr>
        <w:tabs>
          <w:tab w:val="left" w:pos="3038"/>
        </w:tabs>
        <w:spacing w:after="0"/>
        <w:jc w:val="both"/>
      </w:pPr>
      <w:bookmarkStart w:id="3" w:name="bookmark6"/>
      <w:r>
        <w:rPr>
          <w:rStyle w:val="Heading21"/>
          <w:i/>
          <w:iCs/>
          <w:lang w:val="ru-RU"/>
        </w:rPr>
        <w:t>Иммунофлуоресцентный микроскопический анализ</w:t>
      </w:r>
      <w:bookmarkEnd w:id="3"/>
    </w:p>
    <w:p w14:paraId="7AFD53DF" w14:textId="77777777" w:rsidR="00D567C0" w:rsidRPr="00CE5466" w:rsidRDefault="00F96AE2">
      <w:pPr>
        <w:pStyle w:val="Bodytext10"/>
        <w:spacing w:after="180" w:line="293" w:lineRule="auto"/>
        <w:ind w:left="2620" w:firstLine="440"/>
        <w:jc w:val="both"/>
        <w:rPr>
          <w:lang w:val="ru-RU"/>
        </w:rPr>
      </w:pPr>
      <w:r>
        <w:rPr>
          <w:rStyle w:val="Bodytext1"/>
          <w:lang w:val="ru-RU"/>
        </w:rPr>
        <w:t xml:space="preserve">Panc-1 и AsPC-1 обрабатывали в течение 3 недель аллофероном или без него (4 </w:t>
      </w:r>
      <w:r>
        <w:rPr>
          <w:rStyle w:val="Bodytext1"/>
          <w:sz w:val="17"/>
          <w:szCs w:val="17"/>
          <w:lang w:val="ru-RU"/>
        </w:rPr>
        <w:t>мкг</w:t>
      </w:r>
      <w:r>
        <w:rPr>
          <w:rStyle w:val="Bodytext1"/>
          <w:lang w:val="ru-RU"/>
        </w:rPr>
        <w:t>/мл), а затем высевали на покровные листы толщиной 12 мм в 24-луночном планшете. Далее клетки инкубировали в течение ночи и дважды промывали фосфатно-</w:t>
      </w:r>
      <w:r w:rsidR="00CE5466">
        <w:rPr>
          <w:rStyle w:val="Bodytext1"/>
          <w:lang w:val="ru-RU"/>
        </w:rPr>
        <w:t>солевым буфером</w:t>
      </w:r>
      <w:r>
        <w:rPr>
          <w:rStyle w:val="Bodytext1"/>
          <w:lang w:val="ru-RU"/>
        </w:rPr>
        <w:t xml:space="preserve"> (PBS), фиксировали в течение 15 мин при 4</w:t>
      </w:r>
      <w:r>
        <w:rPr>
          <w:rStyle w:val="Bodytext1"/>
          <w:sz w:val="13"/>
          <w:szCs w:val="13"/>
          <w:vertAlign w:val="superscript"/>
          <w:lang w:val="ru-RU"/>
        </w:rPr>
        <w:t>°</w:t>
      </w:r>
      <w:r>
        <w:rPr>
          <w:rStyle w:val="Bodytext1"/>
          <w:lang w:val="ru-RU"/>
        </w:rPr>
        <w:t>C 2% параформальдегидом (</w:t>
      </w:r>
      <w:r w:rsidR="00CE5466">
        <w:rPr>
          <w:rStyle w:val="Bodytext1"/>
        </w:rPr>
        <w:t>PFA</w:t>
      </w:r>
      <w:r>
        <w:rPr>
          <w:rStyle w:val="Bodytext1"/>
          <w:lang w:val="ru-RU"/>
        </w:rPr>
        <w:t xml:space="preserve">). Для иммунофлуоресцентного окрашивания к клеткам на покровных стеклах добавляли пермеабилизирующий раствор (0,1% Triton X-100 в </w:t>
      </w:r>
      <w:r w:rsidR="00CE5466">
        <w:rPr>
          <w:rStyle w:val="Bodytext1"/>
          <w:lang w:val="ru-RU"/>
        </w:rPr>
        <w:t>фосфатно-солевом буфере</w:t>
      </w:r>
      <w:r>
        <w:rPr>
          <w:rStyle w:val="Bodytext1"/>
          <w:lang w:val="ru-RU"/>
        </w:rPr>
        <w:t>) и инкубировали в течение 15 мин при комнатной температуре (КТ). С целью предотвращения неспецифического окрашивания, промытые клетки инкубировали в течение 60 мин при комнатной температуре с блокирующим буфером (0,1% Triton X-100, 0,5% BSA, 5% нормальной козьей сыворотки), а затем подвергали в течение 2 часов при комнатной температуре воздействию кроличьего античеловеческого SLC6A14 (MBL, Нагоя, Япония), разведенного в блокирующем буфере. После этого инкубировали в течение 30 мин при комнатной температуре с конъюгированным с Alexa Fluor 488 козьим антикроличьим IgG (Invitrogen, Карлсбад, Калифорния, США), разведенным в блокирующем буфере. Далее клетки помещали в заливочную среду, содержащую DAPI (Immuno Bioscience, Мукилтео, Вашингтон, США). Для этого покровные стекла устанавливали лицевой стороной вниз на предметное стекло, на которое помещали заливочную среду. Клетки подвергались анализу под флуоресцентным микроскопом (EVOS M5000; Invitrogen, Карлсбад, Калифорния, США). Измерялась средняя интенсивность флуоресценции и нормировалась к сигналу флуоресценции, генерируемому DAPI.</w:t>
      </w:r>
    </w:p>
    <w:p w14:paraId="6387944F" w14:textId="77777777" w:rsidR="00D567C0" w:rsidRDefault="00F96AE2" w:rsidP="00DA3E37">
      <w:pPr>
        <w:pStyle w:val="Heading210"/>
        <w:keepNext/>
        <w:keepLines/>
        <w:numPr>
          <w:ilvl w:val="1"/>
          <w:numId w:val="6"/>
        </w:numPr>
        <w:tabs>
          <w:tab w:val="left" w:pos="3058"/>
        </w:tabs>
        <w:jc w:val="both"/>
      </w:pPr>
      <w:bookmarkStart w:id="4" w:name="bookmark8"/>
      <w:r>
        <w:rPr>
          <w:rStyle w:val="Heading21"/>
          <w:i/>
          <w:iCs/>
          <w:lang w:val="ru-RU"/>
        </w:rPr>
        <w:t>Вестерн-блот анализ</w:t>
      </w:r>
      <w:bookmarkEnd w:id="4"/>
    </w:p>
    <w:p w14:paraId="6351961B" w14:textId="77777777" w:rsidR="00D567C0" w:rsidRPr="00CE5466" w:rsidRDefault="00F96AE2">
      <w:pPr>
        <w:pStyle w:val="Bodytext10"/>
        <w:spacing w:after="180" w:line="293" w:lineRule="auto"/>
        <w:ind w:left="2620" w:firstLine="440"/>
        <w:jc w:val="both"/>
        <w:rPr>
          <w:lang w:val="ru-RU"/>
        </w:rPr>
      </w:pPr>
      <w:r>
        <w:rPr>
          <w:rStyle w:val="Bodytext1"/>
          <w:lang w:val="ru-RU"/>
        </w:rPr>
        <w:t xml:space="preserve">Panc-1 и AsPC-1 обрабатывали (или не обрабатывали) аллофероном (4 </w:t>
      </w:r>
      <w:r>
        <w:rPr>
          <w:rStyle w:val="Bodytext1"/>
          <w:sz w:val="17"/>
          <w:szCs w:val="17"/>
          <w:lang w:val="ru-RU"/>
        </w:rPr>
        <w:t>мкг</w:t>
      </w:r>
      <w:r>
        <w:rPr>
          <w:rStyle w:val="Bodytext1"/>
          <w:lang w:val="ru-RU"/>
        </w:rPr>
        <w:t xml:space="preserve"> /мл), а затем лизировали в буфере RIPA, содержащем 50 мМ Tris-HCl (pH 7,4), 1% NP-40, 0,25% дезоксихолата натрия, 150 мМ NaCl, 1 мМ ЭДТА и смесь ингибиторов протеазы. Концентрация белка измерялась с помощью анализа бицинхониновой кислоты (Sigma, Сент-Луис, Миссури, США). Равное количество белка (30 </w:t>
      </w:r>
      <w:r>
        <w:rPr>
          <w:rStyle w:val="Bodytext1"/>
          <w:sz w:val="17"/>
          <w:szCs w:val="17"/>
          <w:lang w:val="ru-RU"/>
        </w:rPr>
        <w:t>мкг</w:t>
      </w:r>
      <w:r>
        <w:rPr>
          <w:rStyle w:val="Bodytext1"/>
          <w:lang w:val="ru-RU"/>
        </w:rPr>
        <w:t xml:space="preserve">/образец) загружали в каждую полосу 12% SDS-ПААГ и затем разделяли </w:t>
      </w:r>
      <w:r>
        <w:rPr>
          <w:rStyle w:val="Bodytext1"/>
          <w:lang w:val="ru-RU"/>
        </w:rPr>
        <w:softHyphen/>
        <w:t xml:space="preserve">электрофорезом (100 В в течение 4 ч). Затем белки переносили на нитроцеллюлозную мембрану (400 мА в течение 1 ч), которую затем блокировали в течение 1 часа при комнатной температуре 5% обезжиренным молоком в 0,1% твине 20 в фосфатно-солевом буферном растворе (PBST). После этого заблокированную мембрану инкубировали в течение ночи при 4°C с кроличьими антителами против человеческого </w:t>
      </w:r>
      <w:r>
        <w:rPr>
          <w:rStyle w:val="Bodytext1"/>
          <w:sz w:val="13"/>
          <w:szCs w:val="13"/>
          <w:vertAlign w:val="superscript"/>
          <w:lang w:val="ru-RU"/>
        </w:rPr>
        <w:t>SLC6A14</w:t>
      </w:r>
      <w:r>
        <w:rPr>
          <w:rStyle w:val="Bodytext1"/>
          <w:lang w:val="ru-RU"/>
        </w:rPr>
        <w:t xml:space="preserve"> (MBL) и мышиными антителами против человеческого </w:t>
      </w:r>
      <w:r>
        <w:rPr>
          <w:rStyle w:val="Bodytext1"/>
          <w:sz w:val="17"/>
          <w:szCs w:val="17"/>
          <w:lang w:val="ru-RU"/>
        </w:rPr>
        <w:t>β</w:t>
      </w:r>
      <w:r>
        <w:rPr>
          <w:rStyle w:val="Bodytext1"/>
          <w:lang w:val="ru-RU"/>
        </w:rPr>
        <w:t xml:space="preserve"> -актина (Santa Cruz Biotechnology, Даллас, Техас, США). После трехкратной промывки (каждая по 10 мин) PBST мембрану инкубировали в течение 1 часа при комнатной температуре с антикроличьим IgG, конъюгированным с пероксидазой хрена (HRP) (Cell Signaling Technology, Бостон, Массачусетс, США) для обнаружения SLC6A14, или с HRP-конъюгированным антимышиным IgG (Cell Signaling Technology) для выявления </w:t>
      </w:r>
      <w:r>
        <w:rPr>
          <w:rStyle w:val="Bodytext1"/>
          <w:sz w:val="17"/>
          <w:szCs w:val="17"/>
          <w:lang w:val="ru-RU"/>
        </w:rPr>
        <w:t>β</w:t>
      </w:r>
      <w:r>
        <w:rPr>
          <w:rStyle w:val="Bodytext1"/>
          <w:lang w:val="ru-RU"/>
        </w:rPr>
        <w:t xml:space="preserve">-актина. Затем мембрану промывали три раза (по 10 мин), и </w:t>
      </w:r>
      <w:r>
        <w:rPr>
          <w:rStyle w:val="Bodytext1"/>
          <w:lang w:val="ru-RU"/>
        </w:rPr>
        <w:softHyphen/>
        <w:t xml:space="preserve">иммуноактивные белки визуализировали с помощью системы обнаружения SLC6A14 Lumi Femto (DoGenBio, Сеул, Корея) либо системы обнаружения </w:t>
      </w:r>
      <w:r>
        <w:rPr>
          <w:rStyle w:val="Bodytext1"/>
          <w:sz w:val="17"/>
          <w:szCs w:val="17"/>
          <w:lang w:val="ru-RU"/>
        </w:rPr>
        <w:t>β</w:t>
      </w:r>
      <w:r>
        <w:rPr>
          <w:rStyle w:val="Bodytext1"/>
          <w:lang w:val="ru-RU"/>
        </w:rPr>
        <w:t xml:space="preserve">-актина Lumi La (DoGenBio). Плотность полосы анализировалась с помощью программного обеспечения Image J (NIH, Bethesda, MD, США). Результаты были выражены в виде интенсивности по отношению к </w:t>
      </w:r>
      <w:r>
        <w:rPr>
          <w:rStyle w:val="Bodytext1"/>
          <w:sz w:val="17"/>
          <w:szCs w:val="17"/>
          <w:lang w:val="ru-RU"/>
        </w:rPr>
        <w:t>β</w:t>
      </w:r>
      <w:r>
        <w:rPr>
          <w:rStyle w:val="Bodytext1"/>
          <w:lang w:val="ru-RU"/>
        </w:rPr>
        <w:t>-актину.</w:t>
      </w:r>
    </w:p>
    <w:p w14:paraId="4BF869DE" w14:textId="77777777" w:rsidR="00D567C0" w:rsidRDefault="00F96AE2" w:rsidP="00DA3E37">
      <w:pPr>
        <w:pStyle w:val="Bodytext10"/>
        <w:numPr>
          <w:ilvl w:val="1"/>
          <w:numId w:val="6"/>
        </w:numPr>
        <w:tabs>
          <w:tab w:val="left" w:pos="3038"/>
        </w:tabs>
        <w:spacing w:after="40"/>
        <w:jc w:val="both"/>
      </w:pPr>
      <w:r>
        <w:rPr>
          <w:rStyle w:val="Bodytext1"/>
          <w:i/>
          <w:iCs/>
          <w:lang w:val="ru-RU"/>
        </w:rPr>
        <w:lastRenderedPageBreak/>
        <w:t>Анализ CCK-8</w:t>
      </w:r>
    </w:p>
    <w:p w14:paraId="14023E3F" w14:textId="77777777" w:rsidR="00D567C0" w:rsidRPr="00CE5466" w:rsidRDefault="00F96AE2">
      <w:pPr>
        <w:pStyle w:val="Bodytext10"/>
        <w:spacing w:after="180"/>
        <w:ind w:left="2620" w:firstLine="440"/>
        <w:jc w:val="both"/>
        <w:rPr>
          <w:lang w:val="ru-RU"/>
        </w:rPr>
      </w:pPr>
      <w:r>
        <w:rPr>
          <w:rStyle w:val="Bodytext1"/>
          <w:lang w:val="ru-RU"/>
        </w:rPr>
        <w:t xml:space="preserve">Клетки Panc-1 и AsPC-1 обрабатывали (или не обрабатывали) аллофероном (4 </w:t>
      </w:r>
      <w:r>
        <w:rPr>
          <w:rStyle w:val="Bodytext1"/>
          <w:sz w:val="17"/>
          <w:szCs w:val="17"/>
          <w:lang w:val="ru-RU"/>
        </w:rPr>
        <w:t>мкг</w:t>
      </w:r>
      <w:r>
        <w:rPr>
          <w:rStyle w:val="Bodytext1"/>
          <w:lang w:val="ru-RU"/>
        </w:rPr>
        <w:t xml:space="preserve">/мл) в течение 3 недель, после этого высевали в 96-луночный культуральный планшет. После инкубации в течение ночи клетки обрабатывали 100 </w:t>
      </w:r>
      <w:r>
        <w:rPr>
          <w:rStyle w:val="Bodytext1"/>
          <w:sz w:val="17"/>
          <w:szCs w:val="17"/>
          <w:lang w:val="ru-RU"/>
        </w:rPr>
        <w:t>мкл</w:t>
      </w:r>
      <w:r>
        <w:rPr>
          <w:rStyle w:val="Bodytext1"/>
          <w:lang w:val="ru-RU"/>
        </w:rPr>
        <w:t xml:space="preserve"> гемцитабина (0,001, 0,01, 0,1, 1, 5, 10, 50, 100, 500 или 1000 </w:t>
      </w:r>
      <w:r>
        <w:rPr>
          <w:rStyle w:val="Bodytext1"/>
          <w:sz w:val="17"/>
          <w:szCs w:val="17"/>
          <w:lang w:val="ru-RU"/>
        </w:rPr>
        <w:t>мкМ</w:t>
      </w:r>
      <w:r>
        <w:rPr>
          <w:rStyle w:val="Bodytext1"/>
          <w:lang w:val="ru-RU"/>
        </w:rPr>
        <w:t xml:space="preserve">) в полной среде с 10% фетальной бычьей сывороткой и инкубировали в течение 72 часов. Для исследования жизнеспособности клеток среду аспирировали и в каждую лунку добавляли по 100 </w:t>
      </w:r>
      <w:r>
        <w:rPr>
          <w:rStyle w:val="Bodytext1"/>
          <w:sz w:val="17"/>
          <w:szCs w:val="17"/>
          <w:lang w:val="ru-RU"/>
        </w:rPr>
        <w:t>мкл</w:t>
      </w:r>
      <w:r>
        <w:rPr>
          <w:rStyle w:val="Bodytext1"/>
          <w:lang w:val="ru-RU"/>
        </w:rPr>
        <w:t xml:space="preserve"> раствора набора для анализа клеточной пролиферации и цитотоксичности (EZ-Cytox; Dogen) (10% раствор EZ-Cytox в фосфатно-солевой буфер). Абсорбция измерялась при 450 нм с помощью считывателя микропланшетов и программного обеспечения SoftMax Pro (Молекулярные устройства). IC50 гемцитабина определяли с помощью нелинейного регрессионного анализа в GraphPad Prism 5 (программное обеспечение GraphPad, Ла-Хойя, Калифорния, США).</w:t>
      </w:r>
    </w:p>
    <w:p w14:paraId="351AAD23" w14:textId="77777777" w:rsidR="00D567C0" w:rsidRDefault="00F96AE2" w:rsidP="00DA3E37">
      <w:pPr>
        <w:pStyle w:val="Heading210"/>
        <w:keepNext/>
        <w:keepLines/>
        <w:numPr>
          <w:ilvl w:val="1"/>
          <w:numId w:val="6"/>
        </w:numPr>
        <w:tabs>
          <w:tab w:val="left" w:pos="3038"/>
        </w:tabs>
        <w:jc w:val="both"/>
      </w:pPr>
      <w:bookmarkStart w:id="5" w:name="bookmark11"/>
      <w:r>
        <w:rPr>
          <w:rStyle w:val="Heading21"/>
          <w:i/>
          <w:iCs/>
          <w:lang w:val="ru-RU"/>
        </w:rPr>
        <w:t>Анализ поглощения глутамина</w:t>
      </w:r>
      <w:bookmarkEnd w:id="5"/>
    </w:p>
    <w:p w14:paraId="5B70DEAC" w14:textId="77777777" w:rsidR="00D567C0" w:rsidRPr="00CE5466" w:rsidRDefault="00F96AE2">
      <w:pPr>
        <w:pStyle w:val="Bodytext10"/>
        <w:ind w:left="2620" w:firstLine="440"/>
        <w:jc w:val="both"/>
        <w:rPr>
          <w:lang w:val="ru-RU"/>
        </w:rPr>
      </w:pPr>
      <w:r>
        <w:rPr>
          <w:rStyle w:val="Bodytext1"/>
          <w:lang w:val="ru-RU"/>
        </w:rPr>
        <w:t xml:space="preserve">Клетки Panc-1 и AsPC-1 обрабатывались в течение 3 недель аллофероном либо без него (4 </w:t>
      </w:r>
      <w:r>
        <w:rPr>
          <w:rStyle w:val="Bodytext1"/>
          <w:sz w:val="17"/>
          <w:szCs w:val="17"/>
          <w:lang w:val="ru-RU"/>
        </w:rPr>
        <w:t>мкг</w:t>
      </w:r>
      <w:r>
        <w:rPr>
          <w:rStyle w:val="Bodytext1"/>
          <w:lang w:val="ru-RU"/>
        </w:rPr>
        <w:t xml:space="preserve">/мл), высевали в 6-луночный культуральный планшет и инкубировали в течение ночи. Далее клетки промывали и инкубировали в течение 4 часов в обычной культуральной среде без FBS. Затем среду меняли на RPMI/DMEM без глутамина для уменьшения содержания глутамина. Вслед за инкубацией еще в течение 4 часов среду, не содержащую глутамин, заменили на RPMI1640 или DMEM, с содержанием 2 мм и 4 мм глутамина соответственно. Концентрация внутриклеточного глутамина измерялась с помощью набора для анализа глутамина (Promega, Мэдисон, Висконсин, США). Вкратце, клетки удаляли из чашек с использованием трипсин-ЭДТА и помещали в коническую пробирку объемом 15 мл. Клетки промывали </w:t>
      </w:r>
      <w:r w:rsidR="00CE5466">
        <w:rPr>
          <w:rStyle w:val="Bodytext1"/>
          <w:lang w:val="ru-RU"/>
        </w:rPr>
        <w:t>фосфатно-солевом буфером</w:t>
      </w:r>
      <w:r>
        <w:rPr>
          <w:rStyle w:val="Bodytext1"/>
          <w:lang w:val="ru-RU"/>
        </w:rPr>
        <w:t xml:space="preserve"> и лизировали в 0,3 N HCl/450 мМ Tris. Анализ проводился в соответствии с инструкциями производителя. Люминесценцию измеряли с помощью программного обеспечения SoftMax Pro (Molecular Devices, Саннивейл, Калифорния, США).</w:t>
      </w:r>
    </w:p>
    <w:p w14:paraId="141B46DA" w14:textId="77777777" w:rsidR="00D567C0" w:rsidRDefault="00F96AE2" w:rsidP="00DA3E37">
      <w:pPr>
        <w:pStyle w:val="Heading210"/>
        <w:keepNext/>
        <w:keepLines/>
        <w:numPr>
          <w:ilvl w:val="1"/>
          <w:numId w:val="6"/>
        </w:numPr>
        <w:tabs>
          <w:tab w:val="left" w:pos="3038"/>
        </w:tabs>
        <w:jc w:val="both"/>
      </w:pPr>
      <w:bookmarkStart w:id="6" w:name="bookmark13"/>
      <w:r>
        <w:rPr>
          <w:rStyle w:val="Heading21"/>
          <w:i/>
          <w:iCs/>
          <w:lang w:val="ru-RU"/>
        </w:rPr>
        <w:t>Анализ клеточного цикла</w:t>
      </w:r>
      <w:bookmarkEnd w:id="6"/>
    </w:p>
    <w:p w14:paraId="7579CEEA" w14:textId="77777777" w:rsidR="00D567C0" w:rsidRPr="00CE5466" w:rsidRDefault="00F96AE2">
      <w:pPr>
        <w:pStyle w:val="Bodytext10"/>
        <w:spacing w:after="160"/>
        <w:ind w:left="2620" w:firstLine="440"/>
        <w:jc w:val="both"/>
        <w:rPr>
          <w:lang w:val="ru-RU"/>
        </w:rPr>
      </w:pPr>
      <w:r>
        <w:rPr>
          <w:rStyle w:val="Bodytext1"/>
          <w:lang w:val="ru-RU"/>
        </w:rPr>
        <w:t xml:space="preserve">Panc-1 и AsPC-1 обрабатывали аллофероном или без него (4 </w:t>
      </w:r>
      <w:r>
        <w:rPr>
          <w:rStyle w:val="Bodytext1"/>
          <w:sz w:val="17"/>
          <w:szCs w:val="17"/>
          <w:lang w:val="ru-RU"/>
        </w:rPr>
        <w:t>мкг</w:t>
      </w:r>
      <w:r>
        <w:rPr>
          <w:rStyle w:val="Bodytext1"/>
          <w:lang w:val="ru-RU"/>
        </w:rPr>
        <w:t xml:space="preserve">/мл) в течение 3 недель, а затем высевали в культуральную чашку площадью 100 </w:t>
      </w:r>
      <w:r>
        <w:rPr>
          <w:rStyle w:val="Bodytext1"/>
          <w:vertAlign w:val="superscript"/>
          <w:lang w:val="ru-RU"/>
        </w:rPr>
        <w:t>см2</w:t>
      </w:r>
      <w:r>
        <w:rPr>
          <w:rStyle w:val="Bodytext1"/>
          <w:lang w:val="ru-RU"/>
        </w:rPr>
        <w:t xml:space="preserve">. Клетки дважды промывали фосфатно-солевым буфером, а затем обрабатывали 4 </w:t>
      </w:r>
      <w:r>
        <w:rPr>
          <w:rStyle w:val="Bodytext1"/>
          <w:sz w:val="17"/>
          <w:szCs w:val="17"/>
          <w:lang w:val="ru-RU"/>
        </w:rPr>
        <w:t>мк</w:t>
      </w:r>
      <w:r>
        <w:rPr>
          <w:rStyle w:val="Bodytext1"/>
          <w:lang w:val="ru-RU"/>
        </w:rPr>
        <w:t xml:space="preserve">г/мл аллофероном и гемцитабином. Для того, чтобы определить, что максимальная доза показала существенно меньшее изменение распределения клеточного цикла, мы обрабатывали гемцитабином в диапазоне концентраций от 0 до IC50 в среде (Panc-1: 0, 0.25, 0.5, 1, 10 </w:t>
      </w:r>
      <w:r>
        <w:rPr>
          <w:rStyle w:val="Bodytext1"/>
          <w:sz w:val="17"/>
          <w:szCs w:val="17"/>
          <w:lang w:val="ru-RU"/>
        </w:rPr>
        <w:t>мк</w:t>
      </w:r>
      <w:r>
        <w:rPr>
          <w:rStyle w:val="Bodytext1"/>
          <w:lang w:val="ru-RU"/>
        </w:rPr>
        <w:t xml:space="preserve">м; AsPC-1: 0, 0.0625, 0.125, 0.25, 5 </w:t>
      </w:r>
      <w:r>
        <w:rPr>
          <w:rStyle w:val="Bodytext1"/>
          <w:sz w:val="17"/>
          <w:szCs w:val="17"/>
          <w:lang w:val="ru-RU"/>
        </w:rPr>
        <w:t>мк</w:t>
      </w:r>
      <w:r>
        <w:rPr>
          <w:rStyle w:val="Bodytext1"/>
          <w:lang w:val="ru-RU"/>
        </w:rPr>
        <w:t xml:space="preserve"> М). После инкубации в течение 72 часов клетки собирали с использованием трипсин-ЭДТА. После этого</w:t>
      </w:r>
      <w:r w:rsidR="003C1FB7">
        <w:rPr>
          <w:rStyle w:val="Bodytext1"/>
          <w:lang w:val="ru-RU"/>
        </w:rPr>
        <w:t xml:space="preserve"> </w:t>
      </w:r>
      <w:r>
        <w:rPr>
          <w:rStyle w:val="Bodytext1"/>
          <w:lang w:val="ru-RU"/>
        </w:rPr>
        <w:t xml:space="preserve">клетки (5 </w:t>
      </w:r>
      <w:r>
        <w:rPr>
          <w:rStyle w:val="Bodytext1"/>
          <w:sz w:val="17"/>
          <w:szCs w:val="17"/>
          <w:lang w:val="ru-RU"/>
        </w:rPr>
        <w:t>×</w:t>
      </w:r>
      <w:r>
        <w:rPr>
          <w:rStyle w:val="Bodytext1"/>
          <w:lang w:val="ru-RU"/>
        </w:rPr>
        <w:t xml:space="preserve"> 10 </w:t>
      </w:r>
      <w:r>
        <w:rPr>
          <w:rStyle w:val="Bodytext1"/>
          <w:vertAlign w:val="superscript"/>
          <w:lang w:val="ru-RU"/>
        </w:rPr>
        <w:t>5</w:t>
      </w:r>
      <w:r>
        <w:rPr>
          <w:rStyle w:val="Bodytext1"/>
          <w:lang w:val="ru-RU"/>
        </w:rPr>
        <w:t xml:space="preserve">) фиксировали в 75% этаноле (добавляли по капле) и инкубировали в течение ночи при </w:t>
      </w:r>
      <w:r>
        <w:rPr>
          <w:rStyle w:val="Bodytext1"/>
          <w:sz w:val="17"/>
          <w:szCs w:val="17"/>
          <w:lang w:val="ru-RU"/>
        </w:rPr>
        <w:t>-20</w:t>
      </w:r>
      <w:r>
        <w:rPr>
          <w:rStyle w:val="Bodytext1"/>
          <w:lang w:val="ru-RU"/>
        </w:rPr>
        <w:t xml:space="preserve"> </w:t>
      </w:r>
      <w:r>
        <w:rPr>
          <w:rStyle w:val="Bodytext1"/>
          <w:sz w:val="13"/>
          <w:szCs w:val="13"/>
          <w:vertAlign w:val="superscript"/>
          <w:lang w:val="ru-RU"/>
        </w:rPr>
        <w:t>°</w:t>
      </w:r>
      <w:r>
        <w:rPr>
          <w:rStyle w:val="Bodytext1"/>
          <w:lang w:val="ru-RU"/>
        </w:rPr>
        <w:t xml:space="preserve">C. Фиксированные клетки Panc-1 и AsPC-1 промывали фосфатно-солевым буфером и буфером для окрашивания проточной цитометрии (фосфатно-солевой буфер, содержащий 0,5% альбумин бычьей сыворотки и 0,1% азида натрия). Для окрашивания клетки ресуспендировали в течение 15 минут при комнатной температуре в 0,5 мл буфера для окрашивания йодидом пропидия/РНКазой (BD Pharmingen, Сан-Диего, Калифорния, США) и анализировали с помощью проточной цитометрии с использованием цитометра FACSLyric </w:t>
      </w:r>
      <w:r>
        <w:rPr>
          <w:rStyle w:val="Bodytext1"/>
          <w:vertAlign w:val="superscript"/>
          <w:lang w:val="ru-RU"/>
        </w:rPr>
        <w:t>TM</w:t>
      </w:r>
      <w:r>
        <w:rPr>
          <w:rStyle w:val="Bodytext1"/>
          <w:lang w:val="ru-RU"/>
        </w:rPr>
        <w:t xml:space="preserve"> (BD Biosciences, Сан-Хосе, Калифорния, США). Данные анализировались с помощью программного обеспечения FlowJo (BD Biosciences, Франклин Лейкс, Нью-Джерси, США).</w:t>
      </w:r>
    </w:p>
    <w:p w14:paraId="5D03F046" w14:textId="77777777" w:rsidR="00D567C0" w:rsidRDefault="00F96AE2" w:rsidP="00DA3E37">
      <w:pPr>
        <w:pStyle w:val="Heading210"/>
        <w:keepNext/>
        <w:keepLines/>
        <w:numPr>
          <w:ilvl w:val="1"/>
          <w:numId w:val="6"/>
        </w:numPr>
        <w:tabs>
          <w:tab w:val="left" w:pos="3038"/>
        </w:tabs>
        <w:jc w:val="both"/>
      </w:pPr>
      <w:bookmarkStart w:id="7" w:name="bookmark15"/>
      <w:r>
        <w:rPr>
          <w:rStyle w:val="Heading21"/>
          <w:i/>
          <w:iCs/>
          <w:lang w:val="ru-RU"/>
        </w:rPr>
        <w:t>Статистический анализ</w:t>
      </w:r>
      <w:bookmarkEnd w:id="7"/>
    </w:p>
    <w:p w14:paraId="7B25A4A3" w14:textId="77777777" w:rsidR="00D567C0" w:rsidRPr="00CE5466" w:rsidRDefault="00F96AE2">
      <w:pPr>
        <w:pStyle w:val="Bodytext10"/>
        <w:spacing w:after="160" w:line="293" w:lineRule="auto"/>
        <w:ind w:left="2620" w:firstLine="440"/>
        <w:jc w:val="both"/>
        <w:rPr>
          <w:lang w:val="ru-RU"/>
        </w:rPr>
      </w:pPr>
      <w:r>
        <w:rPr>
          <w:rStyle w:val="Bodytext1"/>
          <w:lang w:val="ru-RU"/>
        </w:rPr>
        <w:t xml:space="preserve">Данные представлены в виде среднего значения </w:t>
      </w:r>
      <w:r>
        <w:rPr>
          <w:rStyle w:val="Bodytext1"/>
          <w:sz w:val="17"/>
          <w:szCs w:val="17"/>
          <w:lang w:val="ru-RU"/>
        </w:rPr>
        <w:t>±</w:t>
      </w:r>
      <w:r>
        <w:rPr>
          <w:rStyle w:val="Bodytext1"/>
          <w:lang w:val="ru-RU"/>
        </w:rPr>
        <w:t xml:space="preserve"> SD. Для сравнения двух групп использовался непарный двухвостый t-тест. </w:t>
      </w:r>
      <w:r>
        <w:rPr>
          <w:rStyle w:val="Bodytext1"/>
          <w:i/>
          <w:iCs/>
          <w:lang w:val="ru-RU"/>
        </w:rPr>
        <w:t>р</w:t>
      </w:r>
      <w:r w:rsidR="005517BD">
        <w:rPr>
          <w:rStyle w:val="Bodytext1"/>
          <w:lang w:val="ru-RU"/>
        </w:rPr>
        <w:t>-значения &lt;</w:t>
      </w:r>
      <w:r>
        <w:rPr>
          <w:rStyle w:val="Bodytext1"/>
          <w:lang w:val="ru-RU"/>
        </w:rPr>
        <w:t>0,05 считались статистически значимыми. Статистический анализ проводился с использованием GraphPad Prism 5 (программное обеспечение GraphPad).</w:t>
      </w:r>
    </w:p>
    <w:p w14:paraId="6E2A010A" w14:textId="77777777" w:rsidR="00D567C0" w:rsidRDefault="00986B3A" w:rsidP="00986B3A">
      <w:pPr>
        <w:pStyle w:val="Heading110"/>
        <w:keepNext/>
        <w:keepLines/>
        <w:tabs>
          <w:tab w:val="left" w:pos="2894"/>
        </w:tabs>
        <w:ind w:left="360"/>
        <w:jc w:val="both"/>
      </w:pPr>
      <w:bookmarkStart w:id="8" w:name="bookmark17"/>
      <w:r>
        <w:rPr>
          <w:rStyle w:val="Heading11"/>
          <w:b/>
          <w:bCs/>
          <w:lang w:val="ru-RU"/>
        </w:rPr>
        <w:lastRenderedPageBreak/>
        <w:t xml:space="preserve">                                              3. </w:t>
      </w:r>
      <w:r w:rsidR="00F96AE2">
        <w:rPr>
          <w:rStyle w:val="Heading11"/>
          <w:b/>
          <w:bCs/>
          <w:lang w:val="ru-RU"/>
        </w:rPr>
        <w:t>Результаты</w:t>
      </w:r>
      <w:bookmarkEnd w:id="8"/>
    </w:p>
    <w:p w14:paraId="5C76D857" w14:textId="77777777" w:rsidR="00D567C0" w:rsidRPr="00CE5466" w:rsidRDefault="00F96AE2" w:rsidP="00986B3A">
      <w:pPr>
        <w:pStyle w:val="Heading210"/>
        <w:keepNext/>
        <w:keepLines/>
        <w:numPr>
          <w:ilvl w:val="1"/>
          <w:numId w:val="7"/>
        </w:numPr>
        <w:tabs>
          <w:tab w:val="left" w:pos="3038"/>
        </w:tabs>
        <w:jc w:val="both"/>
        <w:rPr>
          <w:lang w:val="ru-RU"/>
        </w:rPr>
      </w:pPr>
      <w:bookmarkStart w:id="9" w:name="bookmark19"/>
      <w:r>
        <w:rPr>
          <w:rStyle w:val="Heading21"/>
          <w:i/>
          <w:iCs/>
          <w:lang w:val="ru-RU"/>
        </w:rPr>
        <w:t>Аллоферон подавляет экспрессию SLC6A14 в клеточных линиях РПЖ</w:t>
      </w:r>
      <w:bookmarkEnd w:id="9"/>
    </w:p>
    <w:p w14:paraId="5656573F" w14:textId="77777777" w:rsidR="00D567C0" w:rsidRPr="00CE5466" w:rsidRDefault="00F96AE2">
      <w:pPr>
        <w:pStyle w:val="Bodytext10"/>
        <w:spacing w:after="160"/>
        <w:ind w:left="2620" w:firstLine="440"/>
        <w:jc w:val="both"/>
        <w:rPr>
          <w:lang w:val="ru-RU"/>
        </w:rPr>
      </w:pPr>
      <w:r>
        <w:rPr>
          <w:rStyle w:val="Bodytext1"/>
          <w:lang w:val="ru-RU"/>
        </w:rPr>
        <w:t xml:space="preserve">На </w:t>
      </w:r>
      <w:r w:rsidR="00B2699A">
        <w:rPr>
          <w:rStyle w:val="Bodytext1"/>
          <w:lang w:val="ru-RU"/>
        </w:rPr>
        <w:t>основании двух предыдущих отчетов</w:t>
      </w:r>
      <w:r>
        <w:rPr>
          <w:rStyle w:val="Bodytext1"/>
          <w:lang w:val="ru-RU"/>
        </w:rPr>
        <w:t>, показывающих активацию SLC6A14 в клетках РПЖ</w:t>
      </w:r>
      <w:r w:rsidR="00B2699A">
        <w:rPr>
          <w:rStyle w:val="Bodytext1"/>
          <w:lang w:val="ru-RU"/>
        </w:rPr>
        <w:t xml:space="preserve"> </w:t>
      </w:r>
      <w:hyperlink w:anchor="bookmark53" w:tooltip="Current Document" w:history="1">
        <w:r>
          <w:rPr>
            <w:rStyle w:val="Bodytext1"/>
            <w:lang w:val="ru-RU"/>
          </w:rPr>
          <w:t>[</w:t>
        </w:r>
        <w:r>
          <w:rPr>
            <w:rStyle w:val="Bodytext1"/>
            <w:color w:val="0875B7"/>
            <w:lang w:val="ru-RU"/>
          </w:rPr>
          <w:t>34,35</w:t>
        </w:r>
      </w:hyperlink>
      <w:hyperlink w:anchor="bookmark54" w:tooltip="Current Document" w:history="1">
        <w:r>
          <w:rPr>
            <w:rStyle w:val="Bodytext1"/>
            <w:lang w:val="ru-RU"/>
          </w:rPr>
          <w:t>]</w:t>
        </w:r>
      </w:hyperlink>
      <w:r>
        <w:rPr>
          <w:rStyle w:val="Bodytext1"/>
          <w:lang w:val="ru-RU"/>
        </w:rPr>
        <w:t xml:space="preserve"> и нашем предыдущем отчете, касающемся противоопухолевой активности аллоферона против опухолевых клеток посредством активации NK-клеток </w:t>
      </w:r>
      <w:hyperlink w:anchor="bookmark59" w:tooltip="Current Document" w:history="1">
        <w:r>
          <w:rPr>
            <w:rStyle w:val="Bodytext1"/>
            <w:lang w:val="ru-RU"/>
          </w:rPr>
          <w:t>[</w:t>
        </w:r>
        <w:r>
          <w:rPr>
            <w:rStyle w:val="Bodytext1"/>
            <w:color w:val="0875B7"/>
            <w:lang w:val="ru-RU"/>
          </w:rPr>
          <w:t>41</w:t>
        </w:r>
        <w:r>
          <w:rPr>
            <w:rStyle w:val="Bodytext1"/>
            <w:lang w:val="ru-RU"/>
          </w:rPr>
          <w:t>]</w:t>
        </w:r>
      </w:hyperlink>
      <w:r>
        <w:rPr>
          <w:rStyle w:val="Bodytext1"/>
          <w:lang w:val="ru-RU"/>
        </w:rPr>
        <w:t xml:space="preserve">, мы исследовали, влияет ли аллоферон на его прямую противоопухолевую активность через экспрессию SLC6A14 на Panc-1и AsPC-1. После обработки клеток 4 </w:t>
      </w:r>
      <w:r>
        <w:rPr>
          <w:rStyle w:val="Bodytext1"/>
          <w:sz w:val="17"/>
          <w:szCs w:val="17"/>
          <w:lang w:val="ru-RU"/>
        </w:rPr>
        <w:t>мкг</w:t>
      </w:r>
      <w:r>
        <w:rPr>
          <w:rStyle w:val="Bodytext1"/>
          <w:lang w:val="ru-RU"/>
        </w:rPr>
        <w:t xml:space="preserve">/мл аллоферона изменения в экспрессии SLC6A14 оценивались на 1, 2 и 3 неделях методом иммунофлуоресцентной микроскопии. Как показано на рисунке </w:t>
      </w:r>
      <w:r>
        <w:rPr>
          <w:rStyle w:val="Bodytext1"/>
          <w:color w:val="0875B7"/>
          <w:lang w:val="ru-RU"/>
        </w:rPr>
        <w:t>1</w:t>
      </w:r>
      <w:r>
        <w:rPr>
          <w:rStyle w:val="Bodytext1"/>
          <w:lang w:val="ru-RU"/>
        </w:rPr>
        <w:t xml:space="preserve"> А, экспрессия SLC6A14 на Panc-1 через 2 недели понизилась, причем понижение было еще более выраженным через 3 недели. Таким же образом, экспрессия SLC6A14 на AsPC-1 заметно снизилась через 2 недели (рис. </w:t>
      </w:r>
      <w:r>
        <w:rPr>
          <w:rStyle w:val="Bodytext1"/>
          <w:color w:val="0875B7"/>
          <w:lang w:val="ru-RU"/>
        </w:rPr>
        <w:t>1</w:t>
      </w:r>
      <w:r>
        <w:rPr>
          <w:rStyle w:val="Bodytext1"/>
          <w:lang w:val="ru-RU"/>
        </w:rPr>
        <w:t xml:space="preserve">B). Данные иммунофлуоресценции были подтверждены вестерн-блот анализом. Экспрессия </w:t>
      </w:r>
      <w:r>
        <w:rPr>
          <w:rStyle w:val="Bodytext1"/>
          <w:lang w:val="ru-RU"/>
        </w:rPr>
        <w:softHyphen/>
        <w:t xml:space="preserve">SLC6A14 снизилась после обработки аллофероном (рис. </w:t>
      </w:r>
      <w:hyperlink w:anchor="bookmark23" w:tooltip="Current Document" w:history="1">
        <w:r>
          <w:rPr>
            <w:rStyle w:val="Bodytext1"/>
            <w:color w:val="0875B7"/>
            <w:lang w:val="ru-RU"/>
          </w:rPr>
          <w:t>2</w:t>
        </w:r>
        <w:r>
          <w:rPr>
            <w:rStyle w:val="Bodytext1"/>
            <w:lang w:val="ru-RU"/>
          </w:rPr>
          <w:t>)</w:t>
        </w:r>
      </w:hyperlink>
      <w:r>
        <w:rPr>
          <w:rStyle w:val="Bodytext1"/>
          <w:lang w:val="ru-RU"/>
        </w:rPr>
        <w:t xml:space="preserve">. Помимо прочего, мы обнаружили, что базальная экспрессия SLC6A14 была выше в Panc-1, чем в AsPC-1 (Дополнительный Рисунок S1). </w:t>
      </w:r>
      <w:r w:rsidRPr="0081031B">
        <w:rPr>
          <w:rStyle w:val="Bodytext1"/>
          <w:color w:val="C0504D" w:themeColor="accent2"/>
          <w:lang w:val="ru-RU"/>
        </w:rPr>
        <w:t>Взятые вместе, данные свидетельствуют о том, что аллоферон ингибирует экспрессию SLC6A14 в клетках РПЖ</w:t>
      </w:r>
      <w:r>
        <w:rPr>
          <w:rStyle w:val="Bodytext1"/>
          <w:lang w:val="ru-RU"/>
        </w:rPr>
        <w:t xml:space="preserve">. Также, основываясь на этих данных, перед всеми будущими экспериментами мы обрабатывали клетки 4 </w:t>
      </w:r>
      <w:r>
        <w:rPr>
          <w:rStyle w:val="Bodytext1"/>
          <w:sz w:val="17"/>
          <w:szCs w:val="17"/>
          <w:lang w:val="ru-RU"/>
        </w:rPr>
        <w:t>мкг</w:t>
      </w:r>
      <w:r>
        <w:rPr>
          <w:rStyle w:val="Bodytext1"/>
          <w:lang w:val="ru-RU"/>
        </w:rPr>
        <w:t>/мл аллофероном в течение 3 недель.</w:t>
      </w:r>
    </w:p>
    <w:p w14:paraId="495DFD54" w14:textId="77777777" w:rsidR="00D567C0" w:rsidRPr="0081031B" w:rsidRDefault="00F96AE2" w:rsidP="00986B3A">
      <w:pPr>
        <w:pStyle w:val="Heading210"/>
        <w:keepNext/>
        <w:keepLines/>
        <w:numPr>
          <w:ilvl w:val="1"/>
          <w:numId w:val="7"/>
        </w:numPr>
        <w:tabs>
          <w:tab w:val="left" w:pos="3038"/>
        </w:tabs>
        <w:jc w:val="both"/>
        <w:rPr>
          <w:color w:val="C0504D" w:themeColor="accent2"/>
          <w:lang w:val="ru-RU"/>
        </w:rPr>
      </w:pPr>
      <w:bookmarkStart w:id="10" w:name="bookmark21"/>
      <w:r w:rsidRPr="0081031B">
        <w:rPr>
          <w:rStyle w:val="Heading21"/>
          <w:i/>
          <w:iCs/>
          <w:color w:val="C0504D" w:themeColor="accent2"/>
          <w:lang w:val="ru-RU"/>
        </w:rPr>
        <w:t>Аллоферон повышает химиочувствительность Panc-1 и AsPC-1</w:t>
      </w:r>
      <w:bookmarkEnd w:id="10"/>
    </w:p>
    <w:p w14:paraId="35CC5981" w14:textId="77777777" w:rsidR="00D567C0" w:rsidRPr="00CE5466" w:rsidRDefault="00F96AE2">
      <w:pPr>
        <w:pStyle w:val="Bodytext10"/>
        <w:ind w:left="2620" w:firstLine="440"/>
        <w:jc w:val="both"/>
        <w:rPr>
          <w:lang w:val="ru-RU"/>
        </w:rPr>
        <w:sectPr w:rsidR="00D567C0" w:rsidRPr="00CE5466">
          <w:type w:val="continuous"/>
          <w:pgSz w:w="11900" w:h="16840"/>
          <w:pgMar w:top="1748" w:right="658" w:bottom="1465" w:left="677" w:header="0" w:footer="3" w:gutter="0"/>
          <w:cols w:space="720"/>
          <w:noEndnote/>
          <w:docGrid w:linePitch="360"/>
        </w:sectPr>
      </w:pPr>
      <w:r>
        <w:rPr>
          <w:rStyle w:val="Bodytext1"/>
          <w:lang w:val="ru-RU"/>
        </w:rPr>
        <w:t>Дал</w:t>
      </w:r>
      <w:r w:rsidR="003C1FB7">
        <w:rPr>
          <w:rStyle w:val="Bodytext1"/>
          <w:lang w:val="ru-RU"/>
        </w:rPr>
        <w:t>ее мы исследовали изменения в хи</w:t>
      </w:r>
      <w:r>
        <w:rPr>
          <w:rStyle w:val="Bodytext1"/>
          <w:lang w:val="ru-RU"/>
        </w:rPr>
        <w:t>м</w:t>
      </w:r>
      <w:r w:rsidR="003C1FB7">
        <w:rPr>
          <w:rStyle w:val="Bodytext1"/>
          <w:lang w:val="ru-RU"/>
        </w:rPr>
        <w:t>и</w:t>
      </w:r>
      <w:r>
        <w:rPr>
          <w:rStyle w:val="Bodytext1"/>
          <w:lang w:val="ru-RU"/>
        </w:rPr>
        <w:t>очувствительности клеток Panc-1 и AsPC-1 путем измерения IC50 по отношению к гемцитабину в присутствии/отсутствии аллоферона. Предыдущее исследование предполагает, что блокада SLC6A14 запускает альтернативные метаболические пути, включающие триптофан, аминокислоты с разветвленной цепью, кетоновые тела и мембранные фосфолипиды, и что дисфункция SLC6A14 иг</w:t>
      </w:r>
      <w:r w:rsidR="003C1FB7">
        <w:rPr>
          <w:rStyle w:val="Bodytext1"/>
          <w:lang w:val="ru-RU"/>
        </w:rPr>
        <w:t>рает важную роль в повышенной хи</w:t>
      </w:r>
      <w:r>
        <w:rPr>
          <w:rStyle w:val="Bodytext1"/>
          <w:lang w:val="ru-RU"/>
        </w:rPr>
        <w:t>м</w:t>
      </w:r>
      <w:r w:rsidR="003C1FB7">
        <w:rPr>
          <w:rStyle w:val="Bodytext1"/>
          <w:lang w:val="ru-RU"/>
        </w:rPr>
        <w:t>и</w:t>
      </w:r>
      <w:r>
        <w:rPr>
          <w:rStyle w:val="Bodytext1"/>
          <w:lang w:val="ru-RU"/>
        </w:rPr>
        <w:t xml:space="preserve">очувствительности </w:t>
      </w:r>
      <w:hyperlink w:anchor="bookmark61" w:tooltip="Current Document" w:history="1">
        <w:r>
          <w:rPr>
            <w:rStyle w:val="Bodytext1"/>
            <w:lang w:val="ru-RU"/>
          </w:rPr>
          <w:t>[</w:t>
        </w:r>
        <w:r>
          <w:rPr>
            <w:rStyle w:val="Bodytext1"/>
            <w:color w:val="0875B7"/>
            <w:lang w:val="ru-RU"/>
          </w:rPr>
          <w:t>43</w:t>
        </w:r>
        <w:r>
          <w:rPr>
            <w:rStyle w:val="Bodytext1"/>
            <w:lang w:val="ru-RU"/>
          </w:rPr>
          <w:t>]</w:t>
        </w:r>
      </w:hyperlink>
      <w:r>
        <w:rPr>
          <w:rStyle w:val="Bodytext1"/>
          <w:lang w:val="ru-RU"/>
        </w:rPr>
        <w:t xml:space="preserve">. После культивирования в течение 3 недель в присутствии или отсутствии аллоферона (4 </w:t>
      </w:r>
      <w:r>
        <w:rPr>
          <w:rStyle w:val="Bodytext1"/>
          <w:sz w:val="17"/>
          <w:szCs w:val="17"/>
          <w:lang w:val="ru-RU"/>
        </w:rPr>
        <w:t>мк</w:t>
      </w:r>
      <w:r>
        <w:rPr>
          <w:rStyle w:val="Bodytext1"/>
          <w:lang w:val="ru-RU"/>
        </w:rPr>
        <w:t>г/мл) клетки</w:t>
      </w:r>
      <w:r>
        <w:rPr>
          <w:rStyle w:val="Bodytext1"/>
          <w:lang w:val="ru-RU"/>
        </w:rPr>
        <w:softHyphen/>
        <w:t xml:space="preserve"> подвергали воздействию гемцитабина (от 0,001 нМ до 1000 </w:t>
      </w:r>
      <w:r>
        <w:rPr>
          <w:rStyle w:val="Bodytext1"/>
          <w:sz w:val="17"/>
          <w:szCs w:val="17"/>
          <w:lang w:val="ru-RU"/>
        </w:rPr>
        <w:t>мк</w:t>
      </w:r>
      <w:r>
        <w:rPr>
          <w:rStyle w:val="Bodytext1"/>
          <w:lang w:val="ru-RU"/>
        </w:rPr>
        <w:t xml:space="preserve">м) в течение 72 ч. Среднее значение IC50 в Panc-1 снижалось в присутствии аллоферона (без аллоферона: 11,83 </w:t>
      </w:r>
      <w:r>
        <w:rPr>
          <w:rStyle w:val="Bodytext1"/>
          <w:sz w:val="17"/>
          <w:szCs w:val="17"/>
          <w:lang w:val="ru-RU"/>
        </w:rPr>
        <w:t>±</w:t>
      </w:r>
      <w:r>
        <w:rPr>
          <w:rStyle w:val="Bodytext1"/>
          <w:lang w:val="ru-RU"/>
        </w:rPr>
        <w:t xml:space="preserve"> 1,47 </w:t>
      </w:r>
      <w:r>
        <w:rPr>
          <w:rStyle w:val="Bodytext1"/>
          <w:sz w:val="17"/>
          <w:szCs w:val="17"/>
          <w:lang w:val="ru-RU"/>
        </w:rPr>
        <w:t>мк</w:t>
      </w:r>
      <w:r>
        <w:rPr>
          <w:rStyle w:val="Bodytext1"/>
          <w:lang w:val="ru-RU"/>
        </w:rPr>
        <w:t xml:space="preserve">моль; с аллофероном: 9,22 </w:t>
      </w:r>
      <w:r>
        <w:rPr>
          <w:rStyle w:val="Bodytext1"/>
          <w:sz w:val="17"/>
          <w:szCs w:val="17"/>
          <w:lang w:val="ru-RU"/>
        </w:rPr>
        <w:t>±</w:t>
      </w:r>
      <w:r>
        <w:rPr>
          <w:rStyle w:val="Bodytext1"/>
          <w:lang w:val="ru-RU"/>
        </w:rPr>
        <w:t xml:space="preserve"> 1,01 </w:t>
      </w:r>
      <w:r>
        <w:rPr>
          <w:rStyle w:val="Bodytext1"/>
          <w:sz w:val="17"/>
          <w:szCs w:val="17"/>
          <w:lang w:val="ru-RU"/>
        </w:rPr>
        <w:t>мк</w:t>
      </w:r>
      <w:r>
        <w:rPr>
          <w:rStyle w:val="Bodytext1"/>
          <w:lang w:val="ru-RU"/>
        </w:rPr>
        <w:t xml:space="preserve">моль). То же самое было верно для AsPC-1 (без аллоферона: 4,04 </w:t>
      </w:r>
      <w:r>
        <w:rPr>
          <w:rStyle w:val="Bodytext1"/>
          <w:sz w:val="17"/>
          <w:szCs w:val="17"/>
          <w:lang w:val="ru-RU"/>
        </w:rPr>
        <w:t>±</w:t>
      </w:r>
      <w:r>
        <w:rPr>
          <w:rStyle w:val="Bodytext1"/>
          <w:lang w:val="ru-RU"/>
        </w:rPr>
        <w:t xml:space="preserve"> 1,54 </w:t>
      </w:r>
      <w:r>
        <w:rPr>
          <w:rStyle w:val="Bodytext1"/>
          <w:sz w:val="17"/>
          <w:szCs w:val="17"/>
          <w:lang w:val="ru-RU"/>
        </w:rPr>
        <w:t>мкм</w:t>
      </w:r>
      <w:r>
        <w:rPr>
          <w:rStyle w:val="Bodytext1"/>
          <w:lang w:val="ru-RU"/>
        </w:rPr>
        <w:t xml:space="preserve">; с аллофероном: 3,12 </w:t>
      </w:r>
      <w:r>
        <w:rPr>
          <w:rStyle w:val="Bodytext1"/>
          <w:sz w:val="17"/>
          <w:szCs w:val="17"/>
          <w:lang w:val="ru-RU"/>
        </w:rPr>
        <w:t>±</w:t>
      </w:r>
      <w:r>
        <w:rPr>
          <w:rStyle w:val="Bodytext1"/>
          <w:lang w:val="ru-RU"/>
        </w:rPr>
        <w:t xml:space="preserve"> 0,39 </w:t>
      </w:r>
      <w:r>
        <w:rPr>
          <w:rStyle w:val="Bodytext1"/>
          <w:sz w:val="17"/>
          <w:szCs w:val="17"/>
          <w:lang w:val="ru-RU"/>
        </w:rPr>
        <w:t>мкм</w:t>
      </w:r>
      <w:r>
        <w:rPr>
          <w:rStyle w:val="Bodytext1"/>
          <w:lang w:val="ru-RU"/>
        </w:rPr>
        <w:t xml:space="preserve">) (рис. </w:t>
      </w:r>
      <w:r>
        <w:rPr>
          <w:rStyle w:val="Bodytext1"/>
          <w:color w:val="0875B7"/>
          <w:lang w:val="ru-RU"/>
        </w:rPr>
        <w:t>3</w:t>
      </w:r>
      <w:r>
        <w:rPr>
          <w:rStyle w:val="Bodytext1"/>
          <w:lang w:val="ru-RU"/>
        </w:rPr>
        <w:t xml:space="preserve">). </w:t>
      </w:r>
      <w:r w:rsidRPr="00052581">
        <w:rPr>
          <w:rStyle w:val="Bodytext1"/>
          <w:color w:val="C0504D" w:themeColor="accent2"/>
          <w:lang w:val="ru-RU"/>
        </w:rPr>
        <w:t>Таким образом, клеточные линии РПЖ, обработанные аллофероном, имели тенденцию быть более химиочувствительными, чем необработанные. Но при этом, данные результаты свидетельствуют о том, что аллоферон действительно повышает химиочувствительность клеток РПЖ к гемцитабину.</w:t>
      </w:r>
    </w:p>
    <w:p w14:paraId="7B928978" w14:textId="3C8716F9" w:rsidR="00D567C0" w:rsidRPr="00CE5466" w:rsidRDefault="0092685B">
      <w:pPr>
        <w:spacing w:before="49" w:after="49" w:line="240" w:lineRule="exact"/>
        <w:rPr>
          <w:sz w:val="19"/>
          <w:szCs w:val="19"/>
          <w:lang w:val="ru-RU"/>
        </w:rPr>
      </w:pPr>
      <w:r>
        <w:rPr>
          <w:noProof/>
          <w:lang w:val="ru-RU" w:eastAsia="ru-RU" w:bidi="ar-SA"/>
        </w:rPr>
        <w:lastRenderedPageBreak/>
        <w:drawing>
          <wp:anchor distT="0" distB="0" distL="114300" distR="114300" simplePos="0" relativeHeight="251659264" behindDoc="0" locked="0" layoutInCell="1" allowOverlap="1" wp14:anchorId="65B5E229" wp14:editId="091E2BF2">
            <wp:simplePos x="0" y="0"/>
            <wp:positionH relativeFrom="column">
              <wp:posOffset>377825</wp:posOffset>
            </wp:positionH>
            <wp:positionV relativeFrom="paragraph">
              <wp:posOffset>58420</wp:posOffset>
            </wp:positionV>
            <wp:extent cx="6076950" cy="2871470"/>
            <wp:effectExtent l="0" t="0" r="0" b="508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76950" cy="2871470"/>
                    </a:xfrm>
                    <a:prstGeom prst="rect">
                      <a:avLst/>
                    </a:prstGeom>
                    <a:noFill/>
                  </pic:spPr>
                </pic:pic>
              </a:graphicData>
            </a:graphic>
            <wp14:sizeRelH relativeFrom="page">
              <wp14:pctWidth>0</wp14:pctWidth>
            </wp14:sizeRelH>
            <wp14:sizeRelV relativeFrom="page">
              <wp14:pctHeight>0</wp14:pctHeight>
            </wp14:sizeRelV>
          </wp:anchor>
        </w:drawing>
      </w:r>
    </w:p>
    <w:p w14:paraId="3FB0B81B" w14:textId="77777777" w:rsidR="00D567C0" w:rsidRPr="00CE5466" w:rsidRDefault="00D567C0">
      <w:pPr>
        <w:spacing w:line="1" w:lineRule="exact"/>
        <w:rPr>
          <w:lang w:val="ru-RU"/>
        </w:rPr>
        <w:sectPr w:rsidR="00D567C0" w:rsidRPr="00CE5466">
          <w:pgSz w:w="11900" w:h="16840"/>
          <w:pgMar w:top="1348" w:right="663" w:bottom="1348" w:left="710" w:header="0" w:footer="3" w:gutter="0"/>
          <w:cols w:space="720"/>
          <w:noEndnote/>
          <w:docGrid w:linePitch="360"/>
        </w:sectPr>
      </w:pPr>
    </w:p>
    <w:p w14:paraId="1316721B" w14:textId="36D4D7E3" w:rsidR="00D567C0" w:rsidRPr="00756A4E" w:rsidRDefault="00D567C0">
      <w:pPr>
        <w:spacing w:line="360" w:lineRule="exact"/>
        <w:rPr>
          <w:lang w:val="ru-RU"/>
        </w:rPr>
      </w:pPr>
    </w:p>
    <w:p w14:paraId="2B9036E9" w14:textId="4387974F" w:rsidR="00D567C0" w:rsidRPr="00756A4E" w:rsidRDefault="00D567C0">
      <w:pPr>
        <w:spacing w:line="360" w:lineRule="exact"/>
        <w:rPr>
          <w:lang w:val="ru-RU"/>
        </w:rPr>
      </w:pPr>
    </w:p>
    <w:p w14:paraId="5697573E" w14:textId="77777777" w:rsidR="00D567C0" w:rsidRPr="00756A4E" w:rsidRDefault="00D567C0">
      <w:pPr>
        <w:spacing w:line="360" w:lineRule="exact"/>
        <w:rPr>
          <w:lang w:val="ru-RU"/>
        </w:rPr>
      </w:pPr>
    </w:p>
    <w:p w14:paraId="06FAD41F" w14:textId="77777777" w:rsidR="00D567C0" w:rsidRPr="00756A4E" w:rsidRDefault="00D567C0">
      <w:pPr>
        <w:spacing w:line="360" w:lineRule="exact"/>
        <w:rPr>
          <w:lang w:val="ru-RU"/>
        </w:rPr>
      </w:pPr>
    </w:p>
    <w:p w14:paraId="5FA860A2" w14:textId="77777777" w:rsidR="00D567C0" w:rsidRPr="00756A4E" w:rsidRDefault="00D567C0">
      <w:pPr>
        <w:spacing w:line="360" w:lineRule="exact"/>
        <w:rPr>
          <w:lang w:val="ru-RU"/>
        </w:rPr>
      </w:pPr>
    </w:p>
    <w:p w14:paraId="5990099B" w14:textId="77777777" w:rsidR="00D567C0" w:rsidRPr="00756A4E" w:rsidRDefault="00D567C0">
      <w:pPr>
        <w:spacing w:line="360" w:lineRule="exact"/>
        <w:rPr>
          <w:lang w:val="ru-RU"/>
        </w:rPr>
      </w:pPr>
    </w:p>
    <w:p w14:paraId="05CD6896" w14:textId="77777777" w:rsidR="00D567C0" w:rsidRPr="00756A4E" w:rsidRDefault="00D567C0">
      <w:pPr>
        <w:spacing w:line="360" w:lineRule="exact"/>
        <w:rPr>
          <w:lang w:val="ru-RU"/>
        </w:rPr>
      </w:pPr>
    </w:p>
    <w:p w14:paraId="3431FDD6" w14:textId="77777777" w:rsidR="00D567C0" w:rsidRPr="00756A4E" w:rsidRDefault="00D567C0">
      <w:pPr>
        <w:spacing w:line="360" w:lineRule="exact"/>
        <w:rPr>
          <w:lang w:val="ru-RU"/>
        </w:rPr>
      </w:pPr>
    </w:p>
    <w:p w14:paraId="7CE3CF2F" w14:textId="35307C3E" w:rsidR="00D567C0" w:rsidRPr="00756A4E" w:rsidRDefault="00D567C0">
      <w:pPr>
        <w:spacing w:line="360" w:lineRule="exact"/>
        <w:rPr>
          <w:lang w:val="ru-RU"/>
        </w:rPr>
      </w:pPr>
    </w:p>
    <w:p w14:paraId="4A90331D" w14:textId="2208D6C5" w:rsidR="00D567C0" w:rsidRPr="00756A4E" w:rsidRDefault="00D567C0">
      <w:pPr>
        <w:spacing w:line="360" w:lineRule="exact"/>
        <w:rPr>
          <w:lang w:val="ru-RU"/>
        </w:rPr>
      </w:pPr>
    </w:p>
    <w:p w14:paraId="1905AEE3" w14:textId="77777777" w:rsidR="00D567C0" w:rsidRDefault="00D567C0">
      <w:pPr>
        <w:spacing w:line="360" w:lineRule="exact"/>
        <w:rPr>
          <w:lang w:val="ru-RU"/>
        </w:rPr>
      </w:pPr>
    </w:p>
    <w:p w14:paraId="6AA3F5C8" w14:textId="2727CA42" w:rsidR="00062B98" w:rsidRDefault="00062B98">
      <w:pPr>
        <w:spacing w:line="360" w:lineRule="exact"/>
        <w:rPr>
          <w:lang w:val="ru-RU"/>
        </w:rPr>
      </w:pPr>
    </w:p>
    <w:p w14:paraId="3974D363" w14:textId="77777777" w:rsidR="00062B98" w:rsidRDefault="00062B98">
      <w:pPr>
        <w:spacing w:line="360" w:lineRule="exact"/>
        <w:rPr>
          <w:lang w:val="ru-RU"/>
        </w:rPr>
      </w:pPr>
    </w:p>
    <w:p w14:paraId="5A0A3701" w14:textId="77777777" w:rsidR="00170C30" w:rsidRPr="00CE5466" w:rsidRDefault="00170C30" w:rsidP="0092685B">
      <w:pPr>
        <w:pStyle w:val="Picturecaption10"/>
        <w:framePr w:w="7948" w:h="2551" w:wrap="none" w:vAnchor="text" w:hAnchor="page" w:x="1841" w:y="164"/>
        <w:jc w:val="both"/>
        <w:rPr>
          <w:lang w:val="ru-RU"/>
        </w:rPr>
      </w:pPr>
      <w:bookmarkStart w:id="11" w:name="bookmark23"/>
      <w:r>
        <w:rPr>
          <w:rStyle w:val="Picturecaption1"/>
          <w:b/>
          <w:bCs/>
          <w:lang w:val="ru-RU"/>
        </w:rPr>
        <w:t xml:space="preserve">Рисунок 1. </w:t>
      </w:r>
      <w:r>
        <w:rPr>
          <w:rStyle w:val="Picturecaption1"/>
          <w:lang w:val="ru-RU"/>
        </w:rPr>
        <w:t>Иммунофлуоресцентный микроскопический анализ изменений экспрессии SLC6A14 поджелудочной железой</w:t>
      </w:r>
      <w:r>
        <w:rPr>
          <w:rStyle w:val="Picturecaption1"/>
          <w:lang w:val="ru-RU"/>
        </w:rPr>
        <w:softHyphen/>
        <w:t xml:space="preserve"> линии клеток рака Panc-1 и AsPC-1 при воздействии аллоферона. Panc-1 и AsPC-1 культивировали в течение 3 недель в присутствии или в отсутствие аллоферона (4 </w:t>
      </w:r>
      <w:r>
        <w:rPr>
          <w:rStyle w:val="Picturecaption1"/>
          <w:sz w:val="15"/>
          <w:szCs w:val="15"/>
          <w:lang w:val="ru-RU"/>
        </w:rPr>
        <w:t>мкг</w:t>
      </w:r>
      <w:r>
        <w:rPr>
          <w:rStyle w:val="Picturecaption1"/>
          <w:lang w:val="ru-RU"/>
        </w:rPr>
        <w:t>/мл). Изменения экспрессии SLC6A14 в контрольных (необработанных) и обработанных аллофероном клетках изучались через 1, 2 и 3 недели. Белок SLC6A14 определялся количественно путем измерения флуоресценции GFP (зеленый), а ядра окрашивали с DAPI (синий): (</w:t>
      </w:r>
      <w:r>
        <w:rPr>
          <w:rStyle w:val="Picturecaption1"/>
          <w:b/>
          <w:bCs/>
          <w:lang w:val="ru-RU"/>
        </w:rPr>
        <w:t>А</w:t>
      </w:r>
      <w:r>
        <w:rPr>
          <w:rStyle w:val="Picturecaption1"/>
          <w:lang w:val="ru-RU"/>
        </w:rPr>
        <w:t>) Panc-1 и (</w:t>
      </w:r>
      <w:r>
        <w:rPr>
          <w:rStyle w:val="Picturecaption1"/>
          <w:b/>
          <w:bCs/>
          <w:lang w:val="ru-RU"/>
        </w:rPr>
        <w:t>Б</w:t>
      </w:r>
      <w:r>
        <w:rPr>
          <w:rStyle w:val="Picturecaption1"/>
          <w:lang w:val="ru-RU"/>
        </w:rPr>
        <w:t xml:space="preserve">) AsPC-1. Контроль 2'Ab означает, что была окраска только вторичным антителом. Изображения показаны при 400 </w:t>
      </w:r>
      <w:r>
        <w:rPr>
          <w:rStyle w:val="Picturecaption1"/>
          <w:sz w:val="15"/>
          <w:szCs w:val="15"/>
          <w:lang w:val="ru-RU"/>
        </w:rPr>
        <w:t>-кратном</w:t>
      </w:r>
      <w:r>
        <w:rPr>
          <w:rStyle w:val="Picturecaption1"/>
          <w:lang w:val="ru-RU"/>
        </w:rPr>
        <w:t xml:space="preserve"> увеличении (масштабная линейка, 125 </w:t>
      </w:r>
      <w:r>
        <w:rPr>
          <w:rStyle w:val="Picturecaption1"/>
          <w:sz w:val="15"/>
          <w:szCs w:val="15"/>
          <w:lang w:val="ru-RU"/>
        </w:rPr>
        <w:t>мкм</w:t>
      </w:r>
      <w:r>
        <w:rPr>
          <w:rStyle w:val="Picturecaption1"/>
          <w:lang w:val="ru-RU"/>
        </w:rPr>
        <w:t xml:space="preserve">). Экспрессию SLC6A14 в разное время нормализовали до экспрессии SLC6A14 в контроле Panc-1 и AsPC-1 в течение первой недели (установлено в виде 1). Данные представлены в виде среднего значения </w:t>
      </w:r>
      <w:r>
        <w:rPr>
          <w:rStyle w:val="Picturecaption1"/>
          <w:sz w:val="15"/>
          <w:szCs w:val="15"/>
          <w:lang w:val="ru-RU"/>
        </w:rPr>
        <w:t>±</w:t>
      </w:r>
      <w:r>
        <w:rPr>
          <w:rStyle w:val="Picturecaption1"/>
          <w:lang w:val="ru-RU"/>
        </w:rPr>
        <w:t xml:space="preserve"> SD. * </w:t>
      </w:r>
      <w:r>
        <w:rPr>
          <w:rStyle w:val="Picturecaption1"/>
          <w:i/>
          <w:iCs/>
          <w:lang w:val="ru-RU"/>
        </w:rPr>
        <w:t>p</w:t>
      </w:r>
      <w:r>
        <w:rPr>
          <w:rStyle w:val="Picturecaption1"/>
          <w:lang w:val="ru-RU"/>
        </w:rPr>
        <w:t xml:space="preserve"> &lt; 0,05; ** </w:t>
      </w:r>
      <w:r>
        <w:rPr>
          <w:rStyle w:val="Picturecaption1"/>
          <w:i/>
          <w:iCs/>
          <w:lang w:val="ru-RU"/>
        </w:rPr>
        <w:t>p</w:t>
      </w:r>
      <w:r>
        <w:rPr>
          <w:rStyle w:val="Picturecaption1"/>
          <w:lang w:val="ru-RU"/>
        </w:rPr>
        <w:t xml:space="preserve"> &lt; 0,01; *** </w:t>
      </w:r>
      <w:r>
        <w:rPr>
          <w:rStyle w:val="Picturecaption1"/>
          <w:i/>
          <w:iCs/>
          <w:lang w:val="ru-RU"/>
        </w:rPr>
        <w:t>p</w:t>
      </w:r>
      <w:r>
        <w:rPr>
          <w:rStyle w:val="Picturecaption1"/>
          <w:lang w:val="ru-RU"/>
        </w:rPr>
        <w:t xml:space="preserve"> &lt; 0,001; ns = незначимо.</w:t>
      </w:r>
      <w:bookmarkEnd w:id="11"/>
    </w:p>
    <w:p w14:paraId="03CBB8C3" w14:textId="77777777" w:rsidR="00170C30" w:rsidRDefault="00170C30">
      <w:pPr>
        <w:spacing w:line="360" w:lineRule="exact"/>
        <w:rPr>
          <w:lang w:val="ru-RU"/>
        </w:rPr>
      </w:pPr>
    </w:p>
    <w:p w14:paraId="056338E3" w14:textId="77777777" w:rsidR="00170C30" w:rsidRPr="00756A4E" w:rsidRDefault="00170C30">
      <w:pPr>
        <w:spacing w:line="360" w:lineRule="exact"/>
        <w:rPr>
          <w:lang w:val="ru-RU"/>
        </w:rPr>
      </w:pPr>
    </w:p>
    <w:p w14:paraId="0A12FBA8" w14:textId="77777777" w:rsidR="00D567C0" w:rsidRPr="00756A4E" w:rsidRDefault="00D567C0">
      <w:pPr>
        <w:spacing w:line="360" w:lineRule="exact"/>
        <w:rPr>
          <w:lang w:val="ru-RU"/>
        </w:rPr>
      </w:pPr>
    </w:p>
    <w:p w14:paraId="154D108F" w14:textId="77777777" w:rsidR="00D567C0" w:rsidRPr="00756A4E" w:rsidRDefault="00D567C0">
      <w:pPr>
        <w:spacing w:line="360" w:lineRule="exact"/>
        <w:rPr>
          <w:lang w:val="ru-RU"/>
        </w:rPr>
      </w:pPr>
    </w:p>
    <w:p w14:paraId="4880FE16" w14:textId="77777777" w:rsidR="00D567C0" w:rsidRPr="00756A4E" w:rsidRDefault="00D567C0">
      <w:pPr>
        <w:spacing w:line="360" w:lineRule="exact"/>
        <w:rPr>
          <w:lang w:val="ru-RU"/>
        </w:rPr>
      </w:pPr>
    </w:p>
    <w:p w14:paraId="17A07E6B" w14:textId="77777777" w:rsidR="00D567C0" w:rsidRPr="00756A4E" w:rsidRDefault="00D567C0">
      <w:pPr>
        <w:spacing w:line="360" w:lineRule="exact"/>
        <w:rPr>
          <w:lang w:val="ru-RU"/>
        </w:rPr>
      </w:pPr>
    </w:p>
    <w:p w14:paraId="031E7BFB" w14:textId="77777777" w:rsidR="00D567C0" w:rsidRPr="00756A4E" w:rsidRDefault="00D567C0">
      <w:pPr>
        <w:spacing w:line="360" w:lineRule="exact"/>
        <w:rPr>
          <w:lang w:val="ru-RU"/>
        </w:rPr>
      </w:pPr>
    </w:p>
    <w:p w14:paraId="43870CFF" w14:textId="77777777" w:rsidR="00D567C0" w:rsidRPr="00756A4E" w:rsidRDefault="00D567C0">
      <w:pPr>
        <w:spacing w:line="360" w:lineRule="exact"/>
        <w:rPr>
          <w:lang w:val="ru-RU"/>
        </w:rPr>
      </w:pPr>
    </w:p>
    <w:p w14:paraId="2F0A710D" w14:textId="2C603ACD" w:rsidR="00D567C0" w:rsidRDefault="00170C30">
      <w:pPr>
        <w:spacing w:line="360" w:lineRule="exact"/>
        <w:rPr>
          <w:lang w:val="ru-RU"/>
        </w:rPr>
      </w:pPr>
      <w:r>
        <w:rPr>
          <w:noProof/>
          <w:lang w:val="ru-RU" w:eastAsia="ru-RU" w:bidi="ar-SA"/>
        </w:rPr>
        <w:drawing>
          <wp:anchor distT="0" distB="0" distL="114300" distR="114300" simplePos="0" relativeHeight="251661824" behindDoc="0" locked="0" layoutInCell="1" allowOverlap="1" wp14:anchorId="40A211E8" wp14:editId="2634FD95">
            <wp:simplePos x="0" y="0"/>
            <wp:positionH relativeFrom="column">
              <wp:posOffset>1390650</wp:posOffset>
            </wp:positionH>
            <wp:positionV relativeFrom="paragraph">
              <wp:posOffset>132080</wp:posOffset>
            </wp:positionV>
            <wp:extent cx="3971925" cy="25146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71925" cy="2514600"/>
                    </a:xfrm>
                    <a:prstGeom prst="rect">
                      <a:avLst/>
                    </a:prstGeom>
                    <a:noFill/>
                  </pic:spPr>
                </pic:pic>
              </a:graphicData>
            </a:graphic>
            <wp14:sizeRelH relativeFrom="page">
              <wp14:pctWidth>0</wp14:pctWidth>
            </wp14:sizeRelH>
            <wp14:sizeRelV relativeFrom="page">
              <wp14:pctHeight>0</wp14:pctHeight>
            </wp14:sizeRelV>
          </wp:anchor>
        </w:drawing>
      </w:r>
    </w:p>
    <w:p w14:paraId="12F9909C" w14:textId="0B2D76A9" w:rsidR="006C77BE" w:rsidRDefault="006C77BE">
      <w:pPr>
        <w:spacing w:line="360" w:lineRule="exact"/>
        <w:rPr>
          <w:lang w:val="ru-RU"/>
        </w:rPr>
      </w:pPr>
    </w:p>
    <w:p w14:paraId="6A2DD788" w14:textId="3C6C936B" w:rsidR="006C77BE" w:rsidRPr="00756A4E" w:rsidRDefault="006C77BE">
      <w:pPr>
        <w:spacing w:line="360" w:lineRule="exact"/>
        <w:rPr>
          <w:lang w:val="ru-RU"/>
        </w:rPr>
      </w:pPr>
    </w:p>
    <w:p w14:paraId="3E9FC51B" w14:textId="77777777" w:rsidR="00D567C0" w:rsidRPr="00756A4E" w:rsidRDefault="00D567C0">
      <w:pPr>
        <w:spacing w:line="360" w:lineRule="exact"/>
        <w:rPr>
          <w:lang w:val="ru-RU"/>
        </w:rPr>
      </w:pPr>
    </w:p>
    <w:p w14:paraId="12597E4B" w14:textId="77777777" w:rsidR="00D567C0" w:rsidRDefault="00D567C0">
      <w:pPr>
        <w:spacing w:line="360" w:lineRule="exact"/>
        <w:rPr>
          <w:lang w:val="ru-RU"/>
        </w:rPr>
      </w:pPr>
    </w:p>
    <w:p w14:paraId="78111BBF" w14:textId="58914B41" w:rsidR="00170C30" w:rsidRDefault="00170C30" w:rsidP="00170C30">
      <w:pPr>
        <w:tabs>
          <w:tab w:val="left" w:pos="1425"/>
        </w:tabs>
        <w:spacing w:line="360" w:lineRule="exact"/>
        <w:rPr>
          <w:lang w:val="ru-RU"/>
        </w:rPr>
      </w:pPr>
      <w:r>
        <w:rPr>
          <w:lang w:val="ru-RU"/>
        </w:rPr>
        <w:tab/>
      </w:r>
    </w:p>
    <w:p w14:paraId="43626C57" w14:textId="5CA1E3B7" w:rsidR="00170C30" w:rsidRDefault="00170C30">
      <w:pPr>
        <w:spacing w:line="360" w:lineRule="exact"/>
        <w:rPr>
          <w:lang w:val="ru-RU"/>
        </w:rPr>
      </w:pPr>
    </w:p>
    <w:p w14:paraId="31E32C7C" w14:textId="77777777" w:rsidR="00170C30" w:rsidRDefault="00170C30">
      <w:pPr>
        <w:spacing w:line="360" w:lineRule="exact"/>
        <w:rPr>
          <w:lang w:val="ru-RU"/>
        </w:rPr>
      </w:pPr>
    </w:p>
    <w:p w14:paraId="732E5395" w14:textId="3CED209B" w:rsidR="00170C30" w:rsidRDefault="00170C30">
      <w:pPr>
        <w:spacing w:line="360" w:lineRule="exact"/>
        <w:rPr>
          <w:lang w:val="ru-RU"/>
        </w:rPr>
      </w:pPr>
    </w:p>
    <w:p w14:paraId="5349605B" w14:textId="77777777" w:rsidR="00170C30" w:rsidRDefault="00170C30">
      <w:pPr>
        <w:spacing w:line="360" w:lineRule="exact"/>
        <w:rPr>
          <w:lang w:val="ru-RU"/>
        </w:rPr>
      </w:pPr>
    </w:p>
    <w:p w14:paraId="41026C2F" w14:textId="38B8620D" w:rsidR="00170C30" w:rsidRDefault="00170C30">
      <w:pPr>
        <w:spacing w:line="360" w:lineRule="exact"/>
        <w:rPr>
          <w:lang w:val="ru-RU"/>
        </w:rPr>
      </w:pPr>
    </w:p>
    <w:p w14:paraId="14FD1AD9" w14:textId="77777777" w:rsidR="00170C30" w:rsidRDefault="00170C30">
      <w:pPr>
        <w:spacing w:line="360" w:lineRule="exact"/>
        <w:rPr>
          <w:lang w:val="ru-RU"/>
        </w:rPr>
      </w:pPr>
    </w:p>
    <w:p w14:paraId="41BC5466" w14:textId="77777777" w:rsidR="00170C30" w:rsidRPr="00756A4E" w:rsidRDefault="00170C30" w:rsidP="0092685B">
      <w:pPr>
        <w:pStyle w:val="Picturecaption10"/>
        <w:framePr w:w="7944" w:h="1579" w:wrap="none" w:vAnchor="text" w:hAnchor="page" w:x="2121" w:y="154"/>
        <w:jc w:val="both"/>
        <w:rPr>
          <w:lang w:val="ru-RU"/>
        </w:rPr>
      </w:pPr>
      <w:r>
        <w:rPr>
          <w:rStyle w:val="Picturecaption1"/>
          <w:b/>
          <w:bCs/>
          <w:lang w:val="ru-RU"/>
        </w:rPr>
        <w:t xml:space="preserve">Рисунок 2. </w:t>
      </w:r>
      <w:r>
        <w:rPr>
          <w:rStyle w:val="Picturecaption1"/>
          <w:lang w:val="ru-RU"/>
        </w:rPr>
        <w:t xml:space="preserve">Вестерн-блот анализ изменений экспрессии SLC6A14 клеточными линиями рака поджелудочной железы Panc-1 и AsPC-1. Клетки культивировали в течение 3 недель в присутствии и отсутствии аллоферона. Для изучения SLC6A14 был проведен вестерн-блот анализ. </w:t>
      </w:r>
      <w:r>
        <w:rPr>
          <w:rStyle w:val="Picturecaption1"/>
          <w:sz w:val="15"/>
          <w:szCs w:val="15"/>
          <w:lang w:val="ru-RU"/>
        </w:rPr>
        <w:t>β</w:t>
      </w:r>
      <w:r>
        <w:rPr>
          <w:rStyle w:val="Picturecaption1"/>
          <w:lang w:val="ru-RU"/>
        </w:rPr>
        <w:t>-актин использовали в качестве контроля нагрузки: (</w:t>
      </w:r>
      <w:r>
        <w:rPr>
          <w:rStyle w:val="Picturecaption1"/>
          <w:b/>
          <w:bCs/>
          <w:lang w:val="ru-RU"/>
        </w:rPr>
        <w:t>А</w:t>
      </w:r>
      <w:r>
        <w:rPr>
          <w:rStyle w:val="Picturecaption1"/>
          <w:lang w:val="ru-RU"/>
        </w:rPr>
        <w:t>) Panc-1, (</w:t>
      </w:r>
      <w:r>
        <w:rPr>
          <w:rStyle w:val="Picturecaption1"/>
          <w:b/>
          <w:bCs/>
          <w:lang w:val="ru-RU"/>
        </w:rPr>
        <w:t>B</w:t>
      </w:r>
      <w:r>
        <w:rPr>
          <w:rStyle w:val="Picturecaption1"/>
          <w:lang w:val="ru-RU"/>
        </w:rPr>
        <w:t xml:space="preserve">) AsPC-1. Относительные изменения в экспрессии SLC6A14 указаны на гистограмме. Результаты являются репрезентативными для пяти независимых экспериментов. Данные представлены в виде среднего значения </w:t>
      </w:r>
      <w:r>
        <w:rPr>
          <w:rStyle w:val="Picturecaption1"/>
          <w:sz w:val="15"/>
          <w:szCs w:val="15"/>
          <w:lang w:val="ru-RU"/>
        </w:rPr>
        <w:t>±</w:t>
      </w:r>
      <w:r>
        <w:rPr>
          <w:rStyle w:val="Picturecaption1"/>
          <w:lang w:val="ru-RU"/>
        </w:rPr>
        <w:t xml:space="preserve"> SD. * </w:t>
      </w:r>
      <w:r>
        <w:rPr>
          <w:rStyle w:val="Picturecaption1"/>
          <w:i/>
          <w:iCs/>
          <w:lang w:val="ru-RU"/>
        </w:rPr>
        <w:t>p</w:t>
      </w:r>
      <w:r>
        <w:rPr>
          <w:rStyle w:val="Picturecaption1"/>
          <w:lang w:val="ru-RU"/>
        </w:rPr>
        <w:t xml:space="preserve"> &lt; 0,05; ns = незначимо.</w:t>
      </w:r>
    </w:p>
    <w:p w14:paraId="4CFBAD28" w14:textId="77777777" w:rsidR="00170C30" w:rsidRDefault="00170C30">
      <w:pPr>
        <w:spacing w:line="360" w:lineRule="exact"/>
        <w:rPr>
          <w:lang w:val="ru-RU"/>
        </w:rPr>
      </w:pPr>
    </w:p>
    <w:p w14:paraId="6E2EA574" w14:textId="3BA06CE0" w:rsidR="00170C30" w:rsidRDefault="00170C30">
      <w:pPr>
        <w:spacing w:line="360" w:lineRule="exact"/>
        <w:rPr>
          <w:lang w:val="ru-RU"/>
        </w:rPr>
      </w:pPr>
    </w:p>
    <w:p w14:paraId="0E8E4FC0" w14:textId="77777777" w:rsidR="00170C30" w:rsidRDefault="00170C30">
      <w:pPr>
        <w:spacing w:line="360" w:lineRule="exact"/>
        <w:rPr>
          <w:lang w:val="ru-RU"/>
        </w:rPr>
      </w:pPr>
    </w:p>
    <w:p w14:paraId="04962EED" w14:textId="77777777" w:rsidR="00170C30" w:rsidRPr="00756A4E" w:rsidRDefault="00170C30">
      <w:pPr>
        <w:spacing w:line="360" w:lineRule="exact"/>
        <w:rPr>
          <w:lang w:val="ru-RU"/>
        </w:rPr>
      </w:pPr>
    </w:p>
    <w:p w14:paraId="0E4EC2CA" w14:textId="77777777" w:rsidR="00D567C0" w:rsidRPr="00756A4E" w:rsidRDefault="00D567C0">
      <w:pPr>
        <w:spacing w:line="360" w:lineRule="exact"/>
        <w:rPr>
          <w:lang w:val="ru-RU"/>
        </w:rPr>
      </w:pPr>
    </w:p>
    <w:p w14:paraId="7E93740E" w14:textId="77777777" w:rsidR="00D567C0" w:rsidRPr="00756A4E" w:rsidRDefault="00D567C0">
      <w:pPr>
        <w:spacing w:line="360" w:lineRule="exact"/>
        <w:rPr>
          <w:lang w:val="ru-RU"/>
        </w:rPr>
      </w:pPr>
    </w:p>
    <w:p w14:paraId="3F528114" w14:textId="3275846A" w:rsidR="00170C30" w:rsidRDefault="00170C30">
      <w:pPr>
        <w:spacing w:line="1" w:lineRule="exact"/>
        <w:rPr>
          <w:lang w:val="ru-RU"/>
        </w:rPr>
      </w:pPr>
    </w:p>
    <w:p w14:paraId="79F2D725" w14:textId="77777777" w:rsidR="00170C30" w:rsidRPr="00170C30" w:rsidRDefault="00170C30" w:rsidP="00170C30">
      <w:pPr>
        <w:rPr>
          <w:lang w:val="ru-RU"/>
        </w:rPr>
      </w:pPr>
    </w:p>
    <w:p w14:paraId="20DEB13A" w14:textId="6CB7DB6D" w:rsidR="00170C30" w:rsidRPr="00170C30" w:rsidRDefault="00170C30" w:rsidP="0092685B">
      <w:pPr>
        <w:ind w:left="1134"/>
        <w:rPr>
          <w:lang w:val="ru-RU"/>
        </w:rPr>
      </w:pPr>
      <w:r>
        <w:rPr>
          <w:noProof/>
          <w:lang w:val="ru-RU" w:eastAsia="ru-RU" w:bidi="ar-SA"/>
        </w:rPr>
        <w:drawing>
          <wp:inline distT="0" distB="0" distL="0" distR="0" wp14:anchorId="6469D8CF" wp14:editId="4BAF72E9">
            <wp:extent cx="5076825" cy="15335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85234" cy="1536065"/>
                    </a:xfrm>
                    <a:prstGeom prst="rect">
                      <a:avLst/>
                    </a:prstGeom>
                    <a:noFill/>
                  </pic:spPr>
                </pic:pic>
              </a:graphicData>
            </a:graphic>
          </wp:inline>
        </w:drawing>
      </w:r>
    </w:p>
    <w:p w14:paraId="696CA9AE" w14:textId="77777777" w:rsidR="00170C30" w:rsidRDefault="00170C30" w:rsidP="00170C30">
      <w:pPr>
        <w:rPr>
          <w:lang w:val="ru-RU"/>
        </w:rPr>
      </w:pPr>
    </w:p>
    <w:tbl>
      <w:tblPr>
        <w:tblStyle w:val="a6"/>
        <w:tblpPr w:leftFromText="180" w:rightFromText="180" w:vertAnchor="text" w:horzAnchor="margin" w:tblpX="250" w:tblpY="206"/>
        <w:tblOverlap w:val="never"/>
        <w:tblW w:w="0" w:type="auto"/>
        <w:tblLook w:val="04A0" w:firstRow="1" w:lastRow="0" w:firstColumn="1" w:lastColumn="0" w:noHBand="0" w:noVBand="1"/>
      </w:tblPr>
      <w:tblGrid>
        <w:gridCol w:w="2376"/>
        <w:gridCol w:w="2127"/>
      </w:tblGrid>
      <w:tr w:rsidR="0092685B" w:rsidRPr="002C66B9" w14:paraId="352FD5B2" w14:textId="77777777" w:rsidTr="0092685B">
        <w:tc>
          <w:tcPr>
            <w:tcW w:w="2376" w:type="dxa"/>
          </w:tcPr>
          <w:p w14:paraId="4BEFBD7A" w14:textId="77777777" w:rsidR="0092685B" w:rsidRPr="002C66B9" w:rsidRDefault="0092685B" w:rsidP="0092685B">
            <w:pPr>
              <w:rPr>
                <w:sz w:val="20"/>
                <w:szCs w:val="20"/>
                <w:lang w:val="ru-RU"/>
              </w:rPr>
            </w:pPr>
          </w:p>
        </w:tc>
        <w:tc>
          <w:tcPr>
            <w:tcW w:w="2127" w:type="dxa"/>
          </w:tcPr>
          <w:p w14:paraId="4744CB16" w14:textId="77777777" w:rsidR="0092685B" w:rsidRPr="002C66B9" w:rsidRDefault="0092685B" w:rsidP="0092685B">
            <w:pPr>
              <w:jc w:val="right"/>
              <w:rPr>
                <w:sz w:val="20"/>
                <w:szCs w:val="20"/>
                <w:lang w:val="ru-RU"/>
              </w:rPr>
            </w:pPr>
            <w:r w:rsidRPr="00CB4C59">
              <w:rPr>
                <w:rFonts w:ascii="Arial" w:hAnsi="Arial"/>
                <w:sz w:val="20"/>
                <w:szCs w:val="20"/>
                <w:lang w:val="ru-RU"/>
              </w:rPr>
              <w:t>I</w:t>
            </w:r>
            <w:r w:rsidRPr="002C66B9">
              <w:rPr>
                <w:sz w:val="20"/>
                <w:szCs w:val="20"/>
                <w:lang w:val="ru-RU"/>
              </w:rPr>
              <w:t>C50 (мкм)</w:t>
            </w:r>
          </w:p>
        </w:tc>
      </w:tr>
      <w:tr w:rsidR="0092685B" w:rsidRPr="002C66B9" w14:paraId="483AD2CD" w14:textId="77777777" w:rsidTr="0092685B">
        <w:tc>
          <w:tcPr>
            <w:tcW w:w="2376" w:type="dxa"/>
          </w:tcPr>
          <w:p w14:paraId="0725EB2E" w14:textId="77777777" w:rsidR="0092685B" w:rsidRPr="002C66B9" w:rsidRDefault="0092685B" w:rsidP="0092685B">
            <w:pPr>
              <w:rPr>
                <w:sz w:val="20"/>
                <w:szCs w:val="20"/>
                <w:lang w:val="ru-RU"/>
              </w:rPr>
            </w:pPr>
            <w:r w:rsidRPr="002C66B9">
              <w:rPr>
                <w:sz w:val="20"/>
                <w:szCs w:val="20"/>
                <w:lang w:val="ru-RU"/>
              </w:rPr>
              <w:t>без Аллоферона</w:t>
            </w:r>
          </w:p>
        </w:tc>
        <w:tc>
          <w:tcPr>
            <w:tcW w:w="2127" w:type="dxa"/>
          </w:tcPr>
          <w:p w14:paraId="54BBEB32" w14:textId="77777777" w:rsidR="0092685B" w:rsidRPr="002C66B9" w:rsidRDefault="0092685B" w:rsidP="0092685B">
            <w:pPr>
              <w:jc w:val="right"/>
              <w:rPr>
                <w:sz w:val="20"/>
                <w:szCs w:val="20"/>
                <w:lang w:val="ru-RU"/>
              </w:rPr>
            </w:pPr>
            <w:r w:rsidRPr="002C66B9">
              <w:rPr>
                <w:sz w:val="20"/>
                <w:szCs w:val="20"/>
                <w:lang w:val="ru-RU"/>
              </w:rPr>
              <w:t>11.67±1.30</w:t>
            </w:r>
          </w:p>
        </w:tc>
      </w:tr>
      <w:tr w:rsidR="0092685B" w:rsidRPr="002C66B9" w14:paraId="47B6D1D9" w14:textId="77777777" w:rsidTr="0092685B">
        <w:tc>
          <w:tcPr>
            <w:tcW w:w="2376" w:type="dxa"/>
          </w:tcPr>
          <w:p w14:paraId="13B5E30F" w14:textId="77777777" w:rsidR="0092685B" w:rsidRPr="002C66B9" w:rsidRDefault="0092685B" w:rsidP="0092685B">
            <w:pPr>
              <w:rPr>
                <w:sz w:val="20"/>
                <w:szCs w:val="20"/>
                <w:lang w:val="ru-RU"/>
              </w:rPr>
            </w:pPr>
            <w:r w:rsidRPr="002C66B9">
              <w:rPr>
                <w:sz w:val="20"/>
                <w:szCs w:val="20"/>
                <w:lang w:val="ru-RU"/>
              </w:rPr>
              <w:t>с Аллофероном</w:t>
            </w:r>
          </w:p>
        </w:tc>
        <w:tc>
          <w:tcPr>
            <w:tcW w:w="2127" w:type="dxa"/>
          </w:tcPr>
          <w:p w14:paraId="43D46F18" w14:textId="77777777" w:rsidR="0092685B" w:rsidRPr="002C66B9" w:rsidRDefault="0092685B" w:rsidP="0092685B">
            <w:pPr>
              <w:jc w:val="right"/>
              <w:rPr>
                <w:sz w:val="20"/>
                <w:szCs w:val="20"/>
                <w:lang w:val="ru-RU"/>
              </w:rPr>
            </w:pPr>
            <w:r w:rsidRPr="002C66B9">
              <w:rPr>
                <w:sz w:val="20"/>
                <w:szCs w:val="20"/>
                <w:lang w:val="ru-RU"/>
              </w:rPr>
              <w:t>9.11 ±0.89*</w:t>
            </w:r>
          </w:p>
        </w:tc>
      </w:tr>
    </w:tbl>
    <w:p w14:paraId="3711EDC0" w14:textId="77777777" w:rsidR="002C66B9" w:rsidRDefault="002C66B9" w:rsidP="00170C30">
      <w:pPr>
        <w:rPr>
          <w:lang w:val="ru-RU"/>
        </w:rPr>
      </w:pPr>
    </w:p>
    <w:tbl>
      <w:tblPr>
        <w:tblStyle w:val="a6"/>
        <w:tblW w:w="0" w:type="auto"/>
        <w:tblInd w:w="1809" w:type="dxa"/>
        <w:tblLook w:val="04A0" w:firstRow="1" w:lastRow="0" w:firstColumn="1" w:lastColumn="0" w:noHBand="0" w:noVBand="1"/>
      </w:tblPr>
      <w:tblGrid>
        <w:gridCol w:w="1985"/>
        <w:gridCol w:w="2089"/>
      </w:tblGrid>
      <w:tr w:rsidR="002C66B9" w:rsidRPr="002C66B9" w14:paraId="7C861ED2" w14:textId="77777777" w:rsidTr="002C66B9">
        <w:tc>
          <w:tcPr>
            <w:tcW w:w="1985" w:type="dxa"/>
          </w:tcPr>
          <w:p w14:paraId="5DB6A331" w14:textId="77777777" w:rsidR="002C66B9" w:rsidRPr="002C66B9" w:rsidRDefault="002C66B9" w:rsidP="00170C30">
            <w:pPr>
              <w:rPr>
                <w:sz w:val="20"/>
                <w:szCs w:val="20"/>
                <w:lang w:val="ru-RU"/>
              </w:rPr>
            </w:pPr>
          </w:p>
        </w:tc>
        <w:tc>
          <w:tcPr>
            <w:tcW w:w="2089" w:type="dxa"/>
          </w:tcPr>
          <w:p w14:paraId="429F838A" w14:textId="73F1E856" w:rsidR="002C66B9" w:rsidRPr="002C66B9" w:rsidRDefault="002C66B9" w:rsidP="002C66B9">
            <w:pPr>
              <w:jc w:val="right"/>
              <w:rPr>
                <w:sz w:val="20"/>
                <w:szCs w:val="20"/>
                <w:lang w:val="ru-RU"/>
              </w:rPr>
            </w:pPr>
            <w:r w:rsidRPr="00CB4C59">
              <w:rPr>
                <w:rFonts w:ascii="Arial" w:hAnsi="Arial"/>
                <w:sz w:val="20"/>
                <w:szCs w:val="20"/>
                <w:lang w:val="ru-RU"/>
              </w:rPr>
              <w:t>I</w:t>
            </w:r>
            <w:r w:rsidRPr="002C66B9">
              <w:rPr>
                <w:sz w:val="20"/>
                <w:szCs w:val="20"/>
                <w:lang w:val="ru-RU"/>
              </w:rPr>
              <w:t>C50 (мкм)</w:t>
            </w:r>
          </w:p>
        </w:tc>
      </w:tr>
      <w:tr w:rsidR="002C66B9" w:rsidRPr="002C66B9" w14:paraId="39A0BE0F" w14:textId="77777777" w:rsidTr="00F72580">
        <w:tc>
          <w:tcPr>
            <w:tcW w:w="1985" w:type="dxa"/>
          </w:tcPr>
          <w:p w14:paraId="40594863" w14:textId="4FE15A40" w:rsidR="002C66B9" w:rsidRPr="002C66B9" w:rsidRDefault="002C66B9" w:rsidP="002C66B9">
            <w:pPr>
              <w:ind w:left="-108" w:firstLine="108"/>
              <w:rPr>
                <w:sz w:val="20"/>
                <w:szCs w:val="20"/>
                <w:lang w:val="ru-RU"/>
              </w:rPr>
            </w:pPr>
            <w:r w:rsidRPr="002C66B9">
              <w:rPr>
                <w:sz w:val="20"/>
                <w:szCs w:val="20"/>
                <w:lang w:val="ru-RU"/>
              </w:rPr>
              <w:t>без Аллоферона</w:t>
            </w:r>
          </w:p>
        </w:tc>
        <w:tc>
          <w:tcPr>
            <w:tcW w:w="2089" w:type="dxa"/>
            <w:vAlign w:val="bottom"/>
          </w:tcPr>
          <w:p w14:paraId="3C3ADF99" w14:textId="467B2C13" w:rsidR="002C66B9" w:rsidRPr="002C66B9" w:rsidRDefault="002C66B9" w:rsidP="002C66B9">
            <w:pPr>
              <w:jc w:val="right"/>
              <w:rPr>
                <w:sz w:val="20"/>
                <w:szCs w:val="20"/>
                <w:lang w:val="ru-RU"/>
              </w:rPr>
            </w:pPr>
            <w:r w:rsidRPr="002C66B9">
              <w:rPr>
                <w:sz w:val="20"/>
                <w:szCs w:val="20"/>
              </w:rPr>
              <w:t>4.34±1.43</w:t>
            </w:r>
          </w:p>
        </w:tc>
      </w:tr>
      <w:tr w:rsidR="002C66B9" w:rsidRPr="002C66B9" w14:paraId="5B49DE40" w14:textId="77777777" w:rsidTr="00F72580">
        <w:tc>
          <w:tcPr>
            <w:tcW w:w="1985" w:type="dxa"/>
          </w:tcPr>
          <w:p w14:paraId="66A8183E" w14:textId="13502B2F" w:rsidR="002C66B9" w:rsidRPr="002C66B9" w:rsidRDefault="002C66B9" w:rsidP="002C66B9">
            <w:pPr>
              <w:rPr>
                <w:sz w:val="20"/>
                <w:szCs w:val="20"/>
                <w:lang w:val="ru-RU"/>
              </w:rPr>
            </w:pPr>
            <w:r w:rsidRPr="002C66B9">
              <w:rPr>
                <w:sz w:val="20"/>
                <w:szCs w:val="20"/>
                <w:lang w:val="ru-RU"/>
              </w:rPr>
              <w:t>с Аллофероном</w:t>
            </w:r>
          </w:p>
        </w:tc>
        <w:tc>
          <w:tcPr>
            <w:tcW w:w="2089" w:type="dxa"/>
            <w:vAlign w:val="bottom"/>
          </w:tcPr>
          <w:p w14:paraId="59B6F7B6" w14:textId="7E56C045" w:rsidR="002C66B9" w:rsidRPr="002C66B9" w:rsidRDefault="002C66B9" w:rsidP="002C66B9">
            <w:pPr>
              <w:jc w:val="right"/>
              <w:rPr>
                <w:sz w:val="20"/>
                <w:szCs w:val="20"/>
                <w:lang w:val="ru-RU"/>
              </w:rPr>
            </w:pPr>
            <w:r w:rsidRPr="002C66B9">
              <w:rPr>
                <w:sz w:val="20"/>
                <w:szCs w:val="20"/>
              </w:rPr>
              <w:t>3.27±0.42</w:t>
            </w:r>
            <w:r w:rsidRPr="002C66B9">
              <w:rPr>
                <w:sz w:val="20"/>
                <w:szCs w:val="20"/>
                <w:vertAlign w:val="superscript"/>
              </w:rPr>
              <w:t>†</w:t>
            </w:r>
          </w:p>
        </w:tc>
      </w:tr>
    </w:tbl>
    <w:p w14:paraId="45DABA03" w14:textId="6F57119B" w:rsidR="002C66B9" w:rsidRPr="00170C30" w:rsidRDefault="002C66B9" w:rsidP="00170C30">
      <w:pPr>
        <w:rPr>
          <w:lang w:val="ru-RU"/>
        </w:rPr>
      </w:pPr>
      <w:r>
        <w:rPr>
          <w:lang w:val="ru-RU"/>
        </w:rPr>
        <w:br w:type="textWrapping" w:clear="all"/>
      </w:r>
    </w:p>
    <w:p w14:paraId="56DAFE5B" w14:textId="1852C442" w:rsidR="00170C30" w:rsidRDefault="00170C30" w:rsidP="00170C30">
      <w:pPr>
        <w:rPr>
          <w:lang w:val="ru-RU"/>
        </w:rPr>
      </w:pPr>
    </w:p>
    <w:p w14:paraId="4B4EAE03" w14:textId="2C3E3CA4" w:rsidR="00D567C0" w:rsidRPr="00170C30" w:rsidRDefault="00D567C0" w:rsidP="00170C30">
      <w:pPr>
        <w:rPr>
          <w:lang w:val="ru-RU"/>
        </w:rPr>
        <w:sectPr w:rsidR="00D567C0" w:rsidRPr="00170C30" w:rsidSect="00170C30">
          <w:type w:val="continuous"/>
          <w:pgSz w:w="11900" w:h="16840"/>
          <w:pgMar w:top="993" w:right="663" w:bottom="851" w:left="710" w:header="0" w:footer="3" w:gutter="0"/>
          <w:cols w:space="720"/>
          <w:noEndnote/>
          <w:docGrid w:linePitch="360"/>
        </w:sectPr>
      </w:pPr>
    </w:p>
    <w:p w14:paraId="27994884" w14:textId="6BAC99E6" w:rsidR="00D567C0" w:rsidRPr="00756A4E" w:rsidRDefault="00D567C0">
      <w:pPr>
        <w:spacing w:line="1" w:lineRule="exact"/>
        <w:rPr>
          <w:lang w:val="ru-RU"/>
        </w:rPr>
      </w:pPr>
    </w:p>
    <w:p w14:paraId="70C6E806" w14:textId="77777777" w:rsidR="00D567C0" w:rsidRPr="005517BD" w:rsidRDefault="00F96AE2">
      <w:pPr>
        <w:pStyle w:val="Bodytext20"/>
        <w:spacing w:after="100" w:line="334" w:lineRule="auto"/>
        <w:ind w:left="0" w:firstLine="0"/>
        <w:jc w:val="both"/>
        <w:rPr>
          <w:rStyle w:val="Bodytext1"/>
          <w:lang w:val="ru-RU"/>
        </w:rPr>
      </w:pPr>
      <w:r w:rsidRPr="00756A4E">
        <w:rPr>
          <w:rStyle w:val="Bodytext1"/>
          <w:lang w:val="ru-RU"/>
        </w:rPr>
        <w:t xml:space="preserve">Рисунок 3. </w:t>
      </w:r>
      <w:r w:rsidRPr="00052581">
        <w:rPr>
          <w:rStyle w:val="Bodytext1"/>
          <w:color w:val="C0504D" w:themeColor="accent2"/>
          <w:lang w:val="ru-RU"/>
        </w:rPr>
        <w:t xml:space="preserve">Аллоферон снижает значение </w:t>
      </w:r>
      <w:r w:rsidRPr="00052581">
        <w:rPr>
          <w:rStyle w:val="Bodytext1"/>
          <w:color w:val="C0504D" w:themeColor="accent2"/>
        </w:rPr>
        <w:t>IC</w:t>
      </w:r>
      <w:r w:rsidRPr="00052581">
        <w:rPr>
          <w:rStyle w:val="Bodytext1"/>
          <w:color w:val="C0504D" w:themeColor="accent2"/>
          <w:lang w:val="ru-RU"/>
        </w:rPr>
        <w:t>50 гемцитабина в отношении раковых клеток поджелудочной железы</w:t>
      </w:r>
      <w:r w:rsidRPr="00756A4E">
        <w:rPr>
          <w:rStyle w:val="Bodytext1"/>
          <w:lang w:val="ru-RU"/>
        </w:rPr>
        <w:t>. Клетки культивировались в течение 3 недель в присутствии и отсутствии 4 мкг/мл аллоферона, а затем высевались в 96-луночный культуральный планшет. Клетки обрабатывались гемцитабином (от 0,001 нМ до 1000 мкм) и затем инкубировались в течение 72 часов. Пролиферацию клеток нормализовали по отношению к клеткам, обработанным 0,001 нМ гемцитабина: (</w:t>
      </w:r>
      <w:r w:rsidRPr="005517BD">
        <w:rPr>
          <w:rStyle w:val="Bodytext1"/>
        </w:rPr>
        <w:t>A</w:t>
      </w:r>
      <w:r w:rsidR="005517BD" w:rsidRPr="00756A4E">
        <w:rPr>
          <w:rStyle w:val="Bodytext1"/>
          <w:lang w:val="ru-RU"/>
        </w:rPr>
        <w:t xml:space="preserve">) </w:t>
      </w:r>
      <w:r w:rsidR="005517BD" w:rsidRPr="005517BD">
        <w:rPr>
          <w:rStyle w:val="Bodytext1"/>
        </w:rPr>
        <w:t>Panc</w:t>
      </w:r>
      <w:r w:rsidR="005517BD" w:rsidRPr="00756A4E">
        <w:rPr>
          <w:rStyle w:val="Bodytext1"/>
          <w:lang w:val="ru-RU"/>
        </w:rPr>
        <w:t>-1 и (</w:t>
      </w:r>
      <w:r w:rsidRPr="005517BD">
        <w:rPr>
          <w:rStyle w:val="Bodytext1"/>
        </w:rPr>
        <w:t>B</w:t>
      </w:r>
      <w:r w:rsidRPr="00756A4E">
        <w:rPr>
          <w:rStyle w:val="Bodytext1"/>
          <w:lang w:val="ru-RU"/>
        </w:rPr>
        <w:t xml:space="preserve">) </w:t>
      </w:r>
      <w:r w:rsidRPr="005517BD">
        <w:rPr>
          <w:rStyle w:val="Bodytext1"/>
        </w:rPr>
        <w:t>AsPC</w:t>
      </w:r>
      <w:r w:rsidRPr="00756A4E">
        <w:rPr>
          <w:rStyle w:val="Bodytext1"/>
          <w:lang w:val="ru-RU"/>
        </w:rPr>
        <w:t xml:space="preserve">-1. Результаты являются репрезентативными для четырех независимых экспериментов. Данные представлены в виде среднего значения ± </w:t>
      </w:r>
      <w:r w:rsidRPr="005517BD">
        <w:rPr>
          <w:rStyle w:val="Bodytext1"/>
        </w:rPr>
        <w:t>SD</w:t>
      </w:r>
      <w:r w:rsidRPr="00756A4E">
        <w:rPr>
          <w:rStyle w:val="Bodytext1"/>
          <w:lang w:val="ru-RU"/>
        </w:rPr>
        <w:t xml:space="preserve">. </w:t>
      </w:r>
      <w:r w:rsidRPr="00986B3A">
        <w:rPr>
          <w:rStyle w:val="Bodytext1"/>
          <w:lang w:val="ru-RU"/>
        </w:rPr>
        <w:t xml:space="preserve">* </w:t>
      </w:r>
      <w:r w:rsidRPr="005517BD">
        <w:rPr>
          <w:rStyle w:val="Bodytext1"/>
        </w:rPr>
        <w:t>p</w:t>
      </w:r>
      <w:r w:rsidRPr="00986B3A">
        <w:rPr>
          <w:rStyle w:val="Bodytext1"/>
          <w:lang w:val="ru-RU"/>
        </w:rPr>
        <w:t xml:space="preserve"> &lt; 0,05 для </w:t>
      </w:r>
      <w:r w:rsidRPr="005517BD">
        <w:rPr>
          <w:rStyle w:val="Bodytext1"/>
        </w:rPr>
        <w:t>Panc</w:t>
      </w:r>
      <w:r w:rsidRPr="00986B3A">
        <w:rPr>
          <w:rStyle w:val="Bodytext1"/>
          <w:lang w:val="ru-RU"/>
        </w:rPr>
        <w:t>-1 (</w:t>
      </w:r>
      <w:r w:rsidRPr="005517BD">
        <w:rPr>
          <w:rStyle w:val="Bodytext1"/>
        </w:rPr>
        <w:t>A</w:t>
      </w:r>
      <w:r w:rsidRPr="00986B3A">
        <w:rPr>
          <w:rStyle w:val="Bodytext1"/>
          <w:lang w:val="ru-RU"/>
        </w:rPr>
        <w:t xml:space="preserve">); † </w:t>
      </w:r>
      <w:r w:rsidRPr="005517BD">
        <w:rPr>
          <w:rStyle w:val="Bodytext1"/>
        </w:rPr>
        <w:t>p</w:t>
      </w:r>
      <w:r w:rsidRPr="00986B3A">
        <w:rPr>
          <w:rStyle w:val="Bodytext1"/>
          <w:lang w:val="ru-RU"/>
        </w:rPr>
        <w:t xml:space="preserve"> = 0,12 для </w:t>
      </w:r>
      <w:r w:rsidRPr="005517BD">
        <w:rPr>
          <w:rStyle w:val="Bodytext1"/>
        </w:rPr>
        <w:t>AsPC</w:t>
      </w:r>
      <w:r w:rsidRPr="00986B3A">
        <w:rPr>
          <w:rStyle w:val="Bodytext1"/>
          <w:lang w:val="ru-RU"/>
        </w:rPr>
        <w:t>-1 (</w:t>
      </w:r>
      <w:r w:rsidRPr="005517BD">
        <w:rPr>
          <w:rStyle w:val="Bodytext1"/>
        </w:rPr>
        <w:t>B</w:t>
      </w:r>
      <w:r w:rsidRPr="00986B3A">
        <w:rPr>
          <w:rStyle w:val="Bodytext1"/>
          <w:lang w:val="ru-RU"/>
        </w:rPr>
        <w:t>).</w:t>
      </w:r>
    </w:p>
    <w:p w14:paraId="19C0314F" w14:textId="77777777" w:rsidR="00D567C0" w:rsidRPr="005517BD" w:rsidRDefault="00986B3A" w:rsidP="00986B3A">
      <w:pPr>
        <w:pStyle w:val="Heading210"/>
        <w:keepNext/>
        <w:keepLines/>
        <w:tabs>
          <w:tab w:val="left" w:pos="418"/>
        </w:tabs>
        <w:spacing w:after="0"/>
        <w:ind w:left="0"/>
        <w:jc w:val="both"/>
        <w:rPr>
          <w:rStyle w:val="Bodytext1"/>
          <w:i w:val="0"/>
          <w:iCs w:val="0"/>
          <w:lang w:val="ru-RU"/>
        </w:rPr>
      </w:pPr>
      <w:bookmarkStart w:id="12" w:name="bookmark24"/>
      <w:r>
        <w:rPr>
          <w:rStyle w:val="Bodytext1"/>
          <w:lang w:val="ru-RU"/>
        </w:rPr>
        <w:t xml:space="preserve">3.3. </w:t>
      </w:r>
      <w:r w:rsidR="00F96AE2" w:rsidRPr="00052581">
        <w:rPr>
          <w:rStyle w:val="Bodytext1"/>
          <w:color w:val="C0504D" w:themeColor="accent2"/>
          <w:lang w:val="ru-RU"/>
        </w:rPr>
        <w:t>Аллоферон ингибирует поглощение глутамина в клетках РПЖ</w:t>
      </w:r>
      <w:bookmarkEnd w:id="12"/>
    </w:p>
    <w:p w14:paraId="7D305260" w14:textId="77777777" w:rsidR="00D567C0" w:rsidRPr="00CE5466" w:rsidRDefault="00F96AE2">
      <w:pPr>
        <w:pStyle w:val="Bodytext10"/>
        <w:spacing w:after="0"/>
        <w:ind w:firstLine="460"/>
        <w:jc w:val="both"/>
        <w:rPr>
          <w:lang w:val="ru-RU"/>
        </w:rPr>
      </w:pPr>
      <w:r w:rsidRPr="00052581">
        <w:rPr>
          <w:rStyle w:val="Bodytext1"/>
          <w:color w:val="C0504D" w:themeColor="accent2"/>
          <w:lang w:val="ru-RU"/>
        </w:rPr>
        <w:t>Из-за того, что мы заметили, что экспрессия SLC6A14 снижается после обработки аллофероном, мы провели анализ поглощения глутамина, дабы выяснить, уменьшилось ли также поглощение глутамина у Panc-1 и AsPC-1.</w:t>
      </w:r>
      <w:r>
        <w:rPr>
          <w:rStyle w:val="Bodytext1"/>
          <w:lang w:val="ru-RU"/>
        </w:rPr>
        <w:t xml:space="preserve"> Схема анализа показана на рисунке </w:t>
      </w:r>
      <w:r>
        <w:rPr>
          <w:rStyle w:val="Bodytext1"/>
          <w:color w:val="0875B7"/>
          <w:lang w:val="ru-RU"/>
        </w:rPr>
        <w:t>4</w:t>
      </w:r>
      <w:r>
        <w:rPr>
          <w:rStyle w:val="Bodytext1"/>
          <w:lang w:val="ru-RU"/>
        </w:rPr>
        <w:t xml:space="preserve"> А. Мы </w:t>
      </w:r>
      <w:r w:rsidRPr="00052581">
        <w:rPr>
          <w:rStyle w:val="Bodytext1"/>
          <w:color w:val="C0504D" w:themeColor="accent2"/>
          <w:lang w:val="ru-RU"/>
        </w:rPr>
        <w:t xml:space="preserve">выявили, что абсолютная внутриклеточная концентрация глутамина в клетках Panc-1 (5,54 </w:t>
      </w:r>
      <w:r w:rsidRPr="00052581">
        <w:rPr>
          <w:rStyle w:val="Bodytext1"/>
          <w:color w:val="C0504D" w:themeColor="accent2"/>
          <w:sz w:val="17"/>
          <w:szCs w:val="17"/>
          <w:lang w:val="ru-RU"/>
        </w:rPr>
        <w:t>±</w:t>
      </w:r>
      <w:r w:rsidRPr="00052581">
        <w:rPr>
          <w:rStyle w:val="Bodytext1"/>
          <w:color w:val="C0504D" w:themeColor="accent2"/>
          <w:lang w:val="ru-RU"/>
        </w:rPr>
        <w:t xml:space="preserve"> 0,48 </w:t>
      </w:r>
      <w:r w:rsidRPr="00052581">
        <w:rPr>
          <w:rStyle w:val="Bodytext1"/>
          <w:color w:val="C0504D" w:themeColor="accent2"/>
          <w:sz w:val="17"/>
          <w:szCs w:val="17"/>
          <w:lang w:val="ru-RU"/>
        </w:rPr>
        <w:t>мкм</w:t>
      </w:r>
      <w:r w:rsidRPr="00052581">
        <w:rPr>
          <w:rStyle w:val="Bodytext1"/>
          <w:color w:val="C0504D" w:themeColor="accent2"/>
          <w:lang w:val="ru-RU"/>
        </w:rPr>
        <w:t xml:space="preserve">, рис. 4 Б) была выше, чем в клетках AsPC-1 (1,12 </w:t>
      </w:r>
      <w:r w:rsidRPr="00052581">
        <w:rPr>
          <w:rStyle w:val="Bodytext1"/>
          <w:color w:val="C0504D" w:themeColor="accent2"/>
          <w:sz w:val="17"/>
          <w:szCs w:val="17"/>
          <w:lang w:val="ru-RU"/>
        </w:rPr>
        <w:t>±</w:t>
      </w:r>
      <w:r w:rsidRPr="00052581">
        <w:rPr>
          <w:rStyle w:val="Bodytext1"/>
          <w:color w:val="C0504D" w:themeColor="accent2"/>
          <w:lang w:val="ru-RU"/>
        </w:rPr>
        <w:t xml:space="preserve"> 0,08 </w:t>
      </w:r>
      <w:r w:rsidRPr="00052581">
        <w:rPr>
          <w:rStyle w:val="Bodytext1"/>
          <w:color w:val="C0504D" w:themeColor="accent2"/>
          <w:sz w:val="17"/>
          <w:szCs w:val="17"/>
          <w:lang w:val="ru-RU"/>
        </w:rPr>
        <w:t>мкм</w:t>
      </w:r>
      <w:r w:rsidRPr="00052581">
        <w:rPr>
          <w:rStyle w:val="Bodytext1"/>
          <w:color w:val="C0504D" w:themeColor="accent2"/>
          <w:lang w:val="ru-RU"/>
        </w:rPr>
        <w:t xml:space="preserve">, рис. 4В) в </w:t>
      </w:r>
      <w:r w:rsidRPr="00052581">
        <w:rPr>
          <w:rStyle w:val="Bodytext1"/>
          <w:color w:val="C0504D" w:themeColor="accent2"/>
          <w:lang w:val="ru-RU"/>
        </w:rPr>
        <w:softHyphen/>
        <w:t>отсутствии аллоферона.</w:t>
      </w:r>
      <w:r>
        <w:rPr>
          <w:rStyle w:val="Bodytext1"/>
          <w:lang w:val="ru-RU"/>
        </w:rPr>
        <w:t xml:space="preserve"> </w:t>
      </w:r>
      <w:r w:rsidRPr="00052581">
        <w:rPr>
          <w:rStyle w:val="Bodytext1"/>
          <w:color w:val="C0504D" w:themeColor="accent2"/>
          <w:lang w:val="ru-RU"/>
        </w:rPr>
        <w:t xml:space="preserve">После культивирования клеток Panc-1 и AsPC-1 в течение 3 недель в присутствии 4 </w:t>
      </w:r>
      <w:r w:rsidRPr="00052581">
        <w:rPr>
          <w:rStyle w:val="Bodytext1"/>
          <w:color w:val="C0504D" w:themeColor="accent2"/>
          <w:lang w:val="ru-RU"/>
        </w:rPr>
        <w:softHyphen/>
        <w:t xml:space="preserve">мкг/мл аллоферона мы наблюдали уменьшение внутриклеточной концентрации глутамина в клетках Panc-1 (3,72 </w:t>
      </w:r>
      <w:r w:rsidRPr="00052581">
        <w:rPr>
          <w:rStyle w:val="Bodytext1"/>
          <w:color w:val="C0504D" w:themeColor="accent2"/>
          <w:sz w:val="17"/>
          <w:szCs w:val="17"/>
          <w:lang w:val="ru-RU"/>
        </w:rPr>
        <w:t>±</w:t>
      </w:r>
      <w:r w:rsidRPr="00052581">
        <w:rPr>
          <w:rStyle w:val="Bodytext1"/>
          <w:color w:val="C0504D" w:themeColor="accent2"/>
          <w:lang w:val="ru-RU"/>
        </w:rPr>
        <w:t xml:space="preserve"> 0,34 мкм после обработки, рис. 4</w:t>
      </w:r>
      <w:r w:rsidR="00E560D1" w:rsidRPr="00052581">
        <w:rPr>
          <w:rStyle w:val="Bodytext1"/>
          <w:color w:val="C0504D" w:themeColor="accent2"/>
        </w:rPr>
        <w:t>B</w:t>
      </w:r>
      <w:r w:rsidRPr="00052581">
        <w:rPr>
          <w:rStyle w:val="Bodytext1"/>
          <w:color w:val="C0504D" w:themeColor="accent2"/>
          <w:lang w:val="ru-RU"/>
        </w:rPr>
        <w:t xml:space="preserve">). </w:t>
      </w:r>
      <w:r>
        <w:rPr>
          <w:rStyle w:val="Bodytext1"/>
          <w:lang w:val="ru-RU"/>
        </w:rPr>
        <w:t xml:space="preserve">При этом не наблюдалось никакой разницы во внутриклеточной концентрации глутамина в клетках AsPC-1 в присутствии аллоферона (1,05 </w:t>
      </w:r>
      <w:r>
        <w:rPr>
          <w:rStyle w:val="Bodytext1"/>
          <w:sz w:val="17"/>
          <w:szCs w:val="17"/>
          <w:lang w:val="ru-RU"/>
        </w:rPr>
        <w:t>±</w:t>
      </w:r>
      <w:r>
        <w:rPr>
          <w:rStyle w:val="Bodytext1"/>
          <w:lang w:val="ru-RU"/>
        </w:rPr>
        <w:t xml:space="preserve"> 0,14 после обработки, рис. </w:t>
      </w:r>
      <w:r>
        <w:rPr>
          <w:rStyle w:val="Bodytext1"/>
          <w:color w:val="0875B7"/>
          <w:lang w:val="ru-RU"/>
        </w:rPr>
        <w:t>4</w:t>
      </w:r>
      <w:r>
        <w:rPr>
          <w:rStyle w:val="Bodytext1"/>
          <w:lang w:val="ru-RU"/>
        </w:rPr>
        <w:t>С). Поэтому мы затем исследовали изменения в способности клеток поглощать глутамин после воздействия аллоферона после 4 часов инкубации в культуральной среде, не содержащей глутамин, с последующей еще 4 часовой инкубацией в культуральной среде, содержащей глутамин.</w:t>
      </w:r>
    </w:p>
    <w:p w14:paraId="41D5334C" w14:textId="77777777" w:rsidR="00D567C0" w:rsidRPr="00CE5466" w:rsidRDefault="00F96AE2">
      <w:pPr>
        <w:pStyle w:val="Bodytext10"/>
        <w:ind w:firstLine="460"/>
        <w:jc w:val="both"/>
        <w:rPr>
          <w:lang w:val="ru-RU"/>
        </w:rPr>
      </w:pPr>
      <w:r w:rsidRPr="00052581">
        <w:rPr>
          <w:rStyle w:val="Bodytext1"/>
          <w:color w:val="C0504D" w:themeColor="accent2"/>
          <w:lang w:val="ru-RU"/>
        </w:rPr>
        <w:t xml:space="preserve">Когда клетки инкубировали в течение 4 часов в культуральной среде без глутамина, внутриклеточная концентрация глутамина в клетках Panc-1 в присутствии аллоферона снизилась до 0,84 </w:t>
      </w:r>
      <w:r w:rsidRPr="00052581">
        <w:rPr>
          <w:rStyle w:val="Bodytext1"/>
          <w:color w:val="C0504D" w:themeColor="accent2"/>
          <w:sz w:val="17"/>
          <w:szCs w:val="17"/>
          <w:lang w:val="ru-RU"/>
        </w:rPr>
        <w:t>±</w:t>
      </w:r>
      <w:r w:rsidRPr="00052581">
        <w:rPr>
          <w:rStyle w:val="Bodytext1"/>
          <w:color w:val="C0504D" w:themeColor="accent2"/>
          <w:lang w:val="ru-RU"/>
        </w:rPr>
        <w:t xml:space="preserve"> 0,48 </w:t>
      </w:r>
      <w:r w:rsidRPr="00052581">
        <w:rPr>
          <w:rStyle w:val="Bodytext1"/>
          <w:color w:val="C0504D" w:themeColor="accent2"/>
          <w:sz w:val="17"/>
          <w:szCs w:val="17"/>
          <w:lang w:val="ru-RU"/>
        </w:rPr>
        <w:t>мкм</w:t>
      </w:r>
      <w:r w:rsidRPr="00052581">
        <w:rPr>
          <w:rStyle w:val="Bodytext1"/>
          <w:color w:val="C0504D" w:themeColor="accent2"/>
          <w:lang w:val="ru-RU"/>
        </w:rPr>
        <w:t xml:space="preserve"> (по сравнению с 1,68 </w:t>
      </w:r>
      <w:r w:rsidRPr="00052581">
        <w:rPr>
          <w:rStyle w:val="Bodytext1"/>
          <w:color w:val="C0504D" w:themeColor="accent2"/>
          <w:sz w:val="17"/>
          <w:szCs w:val="17"/>
          <w:lang w:val="ru-RU"/>
        </w:rPr>
        <w:t>±</w:t>
      </w:r>
      <w:r w:rsidRPr="00052581">
        <w:rPr>
          <w:rStyle w:val="Bodytext1"/>
          <w:color w:val="C0504D" w:themeColor="accent2"/>
          <w:lang w:val="ru-RU"/>
        </w:rPr>
        <w:t xml:space="preserve"> 0,07 </w:t>
      </w:r>
      <w:r w:rsidRPr="00052581">
        <w:rPr>
          <w:rStyle w:val="Bodytext1"/>
          <w:color w:val="C0504D" w:themeColor="accent2"/>
          <w:sz w:val="17"/>
          <w:szCs w:val="17"/>
          <w:lang w:val="ru-RU"/>
        </w:rPr>
        <w:t>мкм</w:t>
      </w:r>
      <w:r w:rsidRPr="00052581">
        <w:rPr>
          <w:rStyle w:val="Bodytext1"/>
          <w:color w:val="C0504D" w:themeColor="accent2"/>
          <w:lang w:val="ru-RU"/>
        </w:rPr>
        <w:t xml:space="preserve"> в отсутствии аллоферона) (рис. 4 Б).</w:t>
      </w:r>
      <w:r>
        <w:rPr>
          <w:rStyle w:val="Bodytext1"/>
          <w:lang w:val="ru-RU"/>
        </w:rPr>
        <w:t xml:space="preserve"> </w:t>
      </w:r>
      <w:r w:rsidRPr="00052581">
        <w:rPr>
          <w:rStyle w:val="Bodytext1"/>
          <w:color w:val="C0504D" w:themeColor="accent2"/>
          <w:lang w:val="ru-RU"/>
        </w:rPr>
        <w:t xml:space="preserve">Примечательно, несмотря на то, что внутриклеточная концентрация глутамина в Panc-1 в отсутствие аллоферона быстро восстанавливалась (4,75 </w:t>
      </w:r>
      <w:r w:rsidRPr="00052581">
        <w:rPr>
          <w:rStyle w:val="Bodytext1"/>
          <w:color w:val="C0504D" w:themeColor="accent2"/>
          <w:sz w:val="17"/>
          <w:szCs w:val="17"/>
          <w:lang w:val="ru-RU"/>
        </w:rPr>
        <w:t>±</w:t>
      </w:r>
      <w:r w:rsidRPr="00052581">
        <w:rPr>
          <w:rStyle w:val="Bodytext1"/>
          <w:color w:val="C0504D" w:themeColor="accent2"/>
          <w:lang w:val="ru-RU"/>
        </w:rPr>
        <w:t xml:space="preserve"> 0,26 мкмоль).</w:t>
      </w:r>
      <w:r>
        <w:rPr>
          <w:rStyle w:val="Bodytext1"/>
          <w:lang w:val="ru-RU"/>
        </w:rPr>
        <w:t xml:space="preserve"> </w:t>
      </w:r>
      <w:r w:rsidRPr="00052581">
        <w:rPr>
          <w:rStyle w:val="Bodytext1"/>
          <w:color w:val="C0504D" w:themeColor="accent2"/>
          <w:lang w:val="ru-RU"/>
        </w:rPr>
        <w:t xml:space="preserve">Когда же клетки подвергались воздействию среды с содержанием глутамина, восстановление было намного ниже в клетках, культивируемых с 4 </w:t>
      </w:r>
      <w:r w:rsidRPr="00052581">
        <w:rPr>
          <w:rStyle w:val="Bodytext1"/>
          <w:color w:val="C0504D" w:themeColor="accent2"/>
          <w:sz w:val="17"/>
          <w:szCs w:val="17"/>
          <w:lang w:val="ru-RU"/>
        </w:rPr>
        <w:t>мк</w:t>
      </w:r>
      <w:r w:rsidRPr="00052581">
        <w:rPr>
          <w:rStyle w:val="Bodytext1"/>
          <w:color w:val="C0504D" w:themeColor="accent2"/>
          <w:lang w:val="ru-RU"/>
        </w:rPr>
        <w:t>г/мл аллоферона в течение 3 недель (рис. 4В).</w:t>
      </w:r>
      <w:r>
        <w:rPr>
          <w:rStyle w:val="Bodytext1"/>
          <w:lang w:val="ru-RU"/>
        </w:rPr>
        <w:t xml:space="preserve"> С другой стороны, не наблюдалось никакой выраженной разницы во внутриклеточной концентрации глутамина в клетках AsPC-1 в присутствии/отсутствии аллоферона; действительно, мы обнаружили чрезвычайно низкие внутриклеточные концентрации глутамина в AsPC-1 даже в отсутствие аллоферона (рис. </w:t>
      </w:r>
      <w:r>
        <w:rPr>
          <w:rStyle w:val="Bodytext1"/>
          <w:color w:val="0875B7"/>
          <w:lang w:val="ru-RU"/>
        </w:rPr>
        <w:t>4</w:t>
      </w:r>
      <w:r>
        <w:rPr>
          <w:rStyle w:val="Bodytext1"/>
          <w:lang w:val="ru-RU"/>
        </w:rPr>
        <w:t>С). Таким образом, полученные данные свидетельствуют о том, что аллоферон изменяет поглощение глутамина в некоторых клетках РПЖ.</w:t>
      </w:r>
      <w:r>
        <w:rPr>
          <w:rStyle w:val="Bodytext1"/>
          <w:lang w:val="ru-RU"/>
        </w:rPr>
        <w:br w:type="page"/>
      </w:r>
    </w:p>
    <w:p w14:paraId="2B1DBF5B" w14:textId="24D83C33" w:rsidR="00D567C0" w:rsidRPr="00663008" w:rsidRDefault="00D567C0">
      <w:pPr>
        <w:jc w:val="right"/>
        <w:rPr>
          <w:sz w:val="2"/>
          <w:szCs w:val="2"/>
          <w:lang w:val="ru-RU"/>
        </w:rPr>
      </w:pPr>
    </w:p>
    <w:p w14:paraId="168A250E" w14:textId="77777777" w:rsidR="00170C30" w:rsidRDefault="00170C30">
      <w:pPr>
        <w:pStyle w:val="Picturecaption10"/>
        <w:jc w:val="both"/>
        <w:rPr>
          <w:rStyle w:val="Bodytext1"/>
          <w:lang w:val="ru-RU"/>
        </w:rPr>
      </w:pPr>
    </w:p>
    <w:p w14:paraId="4CBC4A39" w14:textId="77777777" w:rsidR="00170C30" w:rsidRDefault="00170C30">
      <w:pPr>
        <w:pStyle w:val="Picturecaption10"/>
        <w:jc w:val="both"/>
        <w:rPr>
          <w:rStyle w:val="Bodytext1"/>
          <w:lang w:val="ru-RU"/>
        </w:rPr>
      </w:pPr>
    </w:p>
    <w:p w14:paraId="6E785920" w14:textId="703B4DCE" w:rsidR="00170C30" w:rsidRDefault="00170C30">
      <w:pPr>
        <w:pStyle w:val="Picturecaption10"/>
        <w:jc w:val="both"/>
        <w:rPr>
          <w:rStyle w:val="Bodytext1"/>
          <w:lang w:val="ru-RU"/>
        </w:rPr>
      </w:pPr>
      <w:r>
        <w:rPr>
          <w:noProof/>
          <w:sz w:val="18"/>
          <w:szCs w:val="18"/>
          <w:lang w:val="ru-RU" w:eastAsia="ru-RU" w:bidi="ar-SA"/>
        </w:rPr>
        <w:drawing>
          <wp:inline distT="0" distB="0" distL="0" distR="0" wp14:anchorId="175ED795" wp14:editId="3C38F5D2">
            <wp:extent cx="5596890" cy="3566160"/>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96890" cy="3566160"/>
                    </a:xfrm>
                    <a:prstGeom prst="rect">
                      <a:avLst/>
                    </a:prstGeom>
                    <a:noFill/>
                  </pic:spPr>
                </pic:pic>
              </a:graphicData>
            </a:graphic>
          </wp:inline>
        </w:drawing>
      </w:r>
    </w:p>
    <w:p w14:paraId="1A001A76" w14:textId="77777777" w:rsidR="00170C30" w:rsidRDefault="00170C30">
      <w:pPr>
        <w:pStyle w:val="Picturecaption10"/>
        <w:jc w:val="both"/>
        <w:rPr>
          <w:rStyle w:val="Bodytext1"/>
          <w:lang w:val="ru-RU"/>
        </w:rPr>
      </w:pPr>
    </w:p>
    <w:p w14:paraId="1103E1D5" w14:textId="77777777" w:rsidR="00170C30" w:rsidRDefault="00170C30">
      <w:pPr>
        <w:pStyle w:val="Picturecaption10"/>
        <w:jc w:val="both"/>
        <w:rPr>
          <w:rStyle w:val="Bodytext1"/>
          <w:lang w:val="ru-RU"/>
        </w:rPr>
      </w:pPr>
    </w:p>
    <w:p w14:paraId="5CFB6E5C" w14:textId="77777777" w:rsidR="00170C30" w:rsidRDefault="00170C30">
      <w:pPr>
        <w:pStyle w:val="Picturecaption10"/>
        <w:jc w:val="both"/>
        <w:rPr>
          <w:rStyle w:val="Bodytext1"/>
          <w:lang w:val="ru-RU"/>
        </w:rPr>
      </w:pPr>
    </w:p>
    <w:p w14:paraId="2F42CA3F" w14:textId="77777777" w:rsidR="00D567C0" w:rsidRPr="005517BD" w:rsidRDefault="00F96AE2">
      <w:pPr>
        <w:pStyle w:val="Picturecaption10"/>
        <w:jc w:val="both"/>
        <w:rPr>
          <w:rStyle w:val="Bodytext1"/>
          <w:lang w:val="ru-RU"/>
        </w:rPr>
      </w:pPr>
      <w:r w:rsidRPr="00756A4E">
        <w:rPr>
          <w:rStyle w:val="Bodytext1"/>
          <w:lang w:val="ru-RU"/>
        </w:rPr>
        <w:t xml:space="preserve">Рисунок 4. Изменения внутриклеточных уровней глутамина в клеточных линиях рака поджелудочной железы, подвергшихся воздействию аллоферона. Клетки </w:t>
      </w:r>
      <w:r w:rsidRPr="005517BD">
        <w:rPr>
          <w:rStyle w:val="Bodytext1"/>
        </w:rPr>
        <w:t>Panc</w:t>
      </w:r>
      <w:r w:rsidRPr="00756A4E">
        <w:rPr>
          <w:rStyle w:val="Bodytext1"/>
          <w:lang w:val="ru-RU"/>
        </w:rPr>
        <w:t xml:space="preserve">-1 и </w:t>
      </w:r>
      <w:r w:rsidRPr="005517BD">
        <w:rPr>
          <w:rStyle w:val="Bodytext1"/>
        </w:rPr>
        <w:t>AsPC</w:t>
      </w:r>
      <w:r w:rsidRPr="00756A4E">
        <w:rPr>
          <w:rStyle w:val="Bodytext1"/>
          <w:lang w:val="ru-RU"/>
        </w:rPr>
        <w:t xml:space="preserve">-1 выращивали в течение ночи в полной среде, содержащей 2 или 4 мм глутамина </w:t>
      </w:r>
      <w:r w:rsidRPr="00756A4E">
        <w:rPr>
          <w:rStyle w:val="Bodytext1"/>
          <w:lang w:val="ru-RU"/>
        </w:rPr>
        <w:softHyphen/>
        <w:t>соответственно. Затем клетки культивировали еще в течение 4 часов в среде без содержания глутамина. Затем измеряли внутриклеточную концентрацию глутамина до и после добавления экзогенного глутамина. (А) Схема показывает анализ поглощения глутамина. Внутриклеточная концентрация глутамина измерялась с помощью набора для анализа глутамина. (</w:t>
      </w:r>
      <w:r w:rsidRPr="005517BD">
        <w:rPr>
          <w:rStyle w:val="Bodytext1"/>
        </w:rPr>
        <w:t>B</w:t>
      </w:r>
      <w:r w:rsidRPr="00756A4E">
        <w:rPr>
          <w:rStyle w:val="Bodytext1"/>
          <w:lang w:val="ru-RU"/>
        </w:rPr>
        <w:t xml:space="preserve">) клетки </w:t>
      </w:r>
      <w:r w:rsidRPr="005517BD">
        <w:rPr>
          <w:rStyle w:val="Bodytext1"/>
        </w:rPr>
        <w:t>Panc</w:t>
      </w:r>
      <w:r w:rsidRPr="00756A4E">
        <w:rPr>
          <w:rStyle w:val="Bodytext1"/>
          <w:lang w:val="ru-RU"/>
        </w:rPr>
        <w:t>-1 и (</w:t>
      </w:r>
      <w:r w:rsidRPr="005517BD">
        <w:rPr>
          <w:rStyle w:val="Bodytext1"/>
        </w:rPr>
        <w:t>C</w:t>
      </w:r>
      <w:r w:rsidRPr="00756A4E">
        <w:rPr>
          <w:rStyle w:val="Bodytext1"/>
          <w:lang w:val="ru-RU"/>
        </w:rPr>
        <w:t xml:space="preserve">) клетки </w:t>
      </w:r>
      <w:r w:rsidRPr="005517BD">
        <w:rPr>
          <w:rStyle w:val="Bodytext1"/>
        </w:rPr>
        <w:t>AsPC</w:t>
      </w:r>
      <w:r w:rsidRPr="00756A4E">
        <w:rPr>
          <w:rStyle w:val="Bodytext1"/>
          <w:lang w:val="ru-RU"/>
        </w:rPr>
        <w:t xml:space="preserve">-1. Каждый образец был протестирован в трех экземплярах, и данные представлены в виде среднего значения ± </w:t>
      </w:r>
      <w:r w:rsidRPr="005517BD">
        <w:rPr>
          <w:rStyle w:val="Bodytext1"/>
        </w:rPr>
        <w:t>SD</w:t>
      </w:r>
      <w:r w:rsidRPr="00756A4E">
        <w:rPr>
          <w:rStyle w:val="Bodytext1"/>
          <w:lang w:val="ru-RU"/>
        </w:rPr>
        <w:t xml:space="preserve">. </w:t>
      </w:r>
      <w:r w:rsidRPr="00986B3A">
        <w:rPr>
          <w:rStyle w:val="Bodytext1"/>
          <w:lang w:val="ru-RU"/>
        </w:rPr>
        <w:t xml:space="preserve">* </w:t>
      </w:r>
      <w:r w:rsidRPr="005517BD">
        <w:rPr>
          <w:rStyle w:val="Bodytext1"/>
        </w:rPr>
        <w:t>p</w:t>
      </w:r>
      <w:r w:rsidRPr="00986B3A">
        <w:rPr>
          <w:rStyle w:val="Bodytext1"/>
          <w:lang w:val="ru-RU"/>
        </w:rPr>
        <w:t xml:space="preserve"> &lt; 0,05; ** </w:t>
      </w:r>
      <w:r w:rsidRPr="005517BD">
        <w:rPr>
          <w:rStyle w:val="Bodytext1"/>
        </w:rPr>
        <w:t>p</w:t>
      </w:r>
      <w:r w:rsidRPr="00986B3A">
        <w:rPr>
          <w:rStyle w:val="Bodytext1"/>
          <w:lang w:val="ru-RU"/>
        </w:rPr>
        <w:t xml:space="preserve"> &lt; 0,01; *** </w:t>
      </w:r>
      <w:r w:rsidRPr="005517BD">
        <w:rPr>
          <w:rStyle w:val="Bodytext1"/>
        </w:rPr>
        <w:t>p</w:t>
      </w:r>
      <w:r w:rsidRPr="00986B3A">
        <w:rPr>
          <w:rStyle w:val="Bodytext1"/>
          <w:lang w:val="ru-RU"/>
        </w:rPr>
        <w:t xml:space="preserve"> &lt; 0,001; </w:t>
      </w:r>
      <w:r w:rsidRPr="005517BD">
        <w:rPr>
          <w:rStyle w:val="Bodytext1"/>
        </w:rPr>
        <w:t>ns</w:t>
      </w:r>
      <w:r w:rsidRPr="00986B3A">
        <w:rPr>
          <w:rStyle w:val="Bodytext1"/>
          <w:lang w:val="ru-RU"/>
        </w:rPr>
        <w:t xml:space="preserve"> = незначимо.</w:t>
      </w:r>
    </w:p>
    <w:p w14:paraId="3055919A" w14:textId="77777777" w:rsidR="00D567C0" w:rsidRPr="00986B3A" w:rsidRDefault="00D567C0">
      <w:pPr>
        <w:spacing w:after="79" w:line="1" w:lineRule="exact"/>
        <w:rPr>
          <w:lang w:val="ru-RU"/>
        </w:rPr>
      </w:pPr>
    </w:p>
    <w:p w14:paraId="5DBF9C0E" w14:textId="77777777" w:rsidR="00D567C0" w:rsidRPr="00052581" w:rsidRDefault="00F96AE2" w:rsidP="00986B3A">
      <w:pPr>
        <w:pStyle w:val="Heading210"/>
        <w:keepNext/>
        <w:keepLines/>
        <w:numPr>
          <w:ilvl w:val="1"/>
          <w:numId w:val="9"/>
        </w:numPr>
        <w:tabs>
          <w:tab w:val="left" w:pos="417"/>
        </w:tabs>
        <w:spacing w:after="0"/>
        <w:rPr>
          <w:color w:val="C0504D" w:themeColor="accent2"/>
          <w:lang w:val="ru-RU"/>
        </w:rPr>
      </w:pPr>
      <w:bookmarkStart w:id="13" w:name="bookmark26"/>
      <w:r w:rsidRPr="00052581">
        <w:rPr>
          <w:rStyle w:val="Heading21"/>
          <w:i/>
          <w:iCs/>
          <w:color w:val="C0504D" w:themeColor="accent2"/>
          <w:lang w:val="ru-RU"/>
        </w:rPr>
        <w:t>Совместное лечение клеток РПЖ аллофероном и гемцитабином изменяет распределение клеточного цикла</w:t>
      </w:r>
      <w:bookmarkEnd w:id="13"/>
    </w:p>
    <w:p w14:paraId="1AD2C07F" w14:textId="77777777" w:rsidR="00D567C0" w:rsidRDefault="00F96AE2">
      <w:pPr>
        <w:pStyle w:val="Bodytext10"/>
        <w:spacing w:after="60"/>
        <w:ind w:firstLine="440"/>
        <w:jc w:val="both"/>
        <w:rPr>
          <w:rStyle w:val="Bodytext1"/>
          <w:lang w:val="ru-RU"/>
        </w:rPr>
      </w:pPr>
      <w:r w:rsidRPr="00052581">
        <w:rPr>
          <w:rStyle w:val="Bodytext1"/>
          <w:color w:val="C0504D" w:themeColor="accent2"/>
          <w:lang w:val="ru-RU"/>
        </w:rPr>
        <w:t>Поскольку чувствительность клеток Panc-1 и AsPC-1 к гемцитабину повышалась после воздействия аллоферона, мы провели анализ клеточного цикла, чтобы исследовать влияние аллоферона на распределение клеточного цикла в присутствии гемцитабина.</w:t>
      </w:r>
      <w:r>
        <w:rPr>
          <w:rStyle w:val="Bodytext1"/>
          <w:lang w:val="ru-RU"/>
        </w:rPr>
        <w:t xml:space="preserve"> Для этого, во-первых, были проведены эксперименты </w:t>
      </w:r>
      <w:r>
        <w:rPr>
          <w:rStyle w:val="Bodytext1"/>
          <w:lang w:val="ru-RU"/>
        </w:rPr>
        <w:softHyphen/>
        <w:t xml:space="preserve">по определению самой высокой концентрации гемцитабина, не проявляющей цитотоксических эффектов. Никаких цитотоксических эффектов гемцитабина в отношении клеток Panc-1 и AsPC-1 не наблюдалось при 0,0625 </w:t>
      </w:r>
      <w:r>
        <w:rPr>
          <w:rStyle w:val="Bodytext1"/>
          <w:sz w:val="17"/>
          <w:szCs w:val="17"/>
          <w:lang w:val="ru-RU"/>
        </w:rPr>
        <w:t>мкм</w:t>
      </w:r>
      <w:r>
        <w:rPr>
          <w:rStyle w:val="Bodytext1"/>
          <w:lang w:val="ru-RU"/>
        </w:rPr>
        <w:t xml:space="preserve"> и 0,5 </w:t>
      </w:r>
      <w:r>
        <w:rPr>
          <w:rStyle w:val="Bodytext1"/>
          <w:sz w:val="17"/>
          <w:szCs w:val="17"/>
          <w:lang w:val="ru-RU"/>
        </w:rPr>
        <w:t>мкм</w:t>
      </w:r>
      <w:r>
        <w:rPr>
          <w:rStyle w:val="Bodytext1"/>
          <w:lang w:val="ru-RU"/>
        </w:rPr>
        <w:t xml:space="preserve"> соответственно (дополнительные рисунки S2 и S3). </w:t>
      </w:r>
      <w:r w:rsidRPr="00052581">
        <w:rPr>
          <w:rStyle w:val="Bodytext1"/>
          <w:color w:val="C0504D" w:themeColor="accent2"/>
          <w:lang w:val="ru-RU"/>
        </w:rPr>
        <w:t xml:space="preserve">Комбинация гемцитабина с аллофероном увеличило процент апоптотических клеток Panc-1 в фазе sub-G1 (2,1 </w:t>
      </w:r>
      <w:r w:rsidRPr="00052581">
        <w:rPr>
          <w:rStyle w:val="Bodytext1"/>
          <w:color w:val="C0504D" w:themeColor="accent2"/>
          <w:sz w:val="17"/>
          <w:szCs w:val="17"/>
          <w:lang w:val="ru-RU"/>
        </w:rPr>
        <w:t>±</w:t>
      </w:r>
      <w:r w:rsidRPr="00052581">
        <w:rPr>
          <w:rStyle w:val="Bodytext1"/>
          <w:color w:val="C0504D" w:themeColor="accent2"/>
          <w:lang w:val="ru-RU"/>
        </w:rPr>
        <w:t xml:space="preserve"> 0,3% в отсутствие аллоферона и 3,5 </w:t>
      </w:r>
      <w:r w:rsidRPr="00052581">
        <w:rPr>
          <w:rStyle w:val="Bodytext1"/>
          <w:color w:val="C0504D" w:themeColor="accent2"/>
          <w:sz w:val="17"/>
          <w:szCs w:val="17"/>
          <w:lang w:val="ru-RU"/>
        </w:rPr>
        <w:t>±</w:t>
      </w:r>
      <w:r w:rsidRPr="00052581">
        <w:rPr>
          <w:rStyle w:val="Bodytext1"/>
          <w:color w:val="C0504D" w:themeColor="accent2"/>
          <w:lang w:val="ru-RU"/>
        </w:rPr>
        <w:t xml:space="preserve"> 0,3% в присутствии аллоферона, </w:t>
      </w:r>
      <w:r w:rsidRPr="00052581">
        <w:rPr>
          <w:rStyle w:val="Bodytext1"/>
          <w:i/>
          <w:iCs/>
          <w:color w:val="C0504D" w:themeColor="accent2"/>
          <w:lang w:val="ru-RU"/>
        </w:rPr>
        <w:t>р</w:t>
      </w:r>
      <w:r w:rsidRPr="00052581">
        <w:rPr>
          <w:rStyle w:val="Bodytext1"/>
          <w:color w:val="C0504D" w:themeColor="accent2"/>
          <w:lang w:val="ru-RU"/>
        </w:rPr>
        <w:t xml:space="preserve"> = 0,02; рис. 5А).</w:t>
      </w:r>
      <w:r>
        <w:rPr>
          <w:rStyle w:val="Bodytext1"/>
          <w:lang w:val="ru-RU"/>
        </w:rPr>
        <w:t xml:space="preserve"> Однако аллоферон не оказывал синергического эффекта на суб-G1 популяцию клеток AsPC-1 (рис. </w:t>
      </w:r>
      <w:r>
        <w:rPr>
          <w:rStyle w:val="Bodytext1"/>
          <w:color w:val="0875B7"/>
          <w:lang w:val="ru-RU"/>
        </w:rPr>
        <w:t>5</w:t>
      </w:r>
      <w:r w:rsidR="00100CA8" w:rsidRPr="00100CA8">
        <w:rPr>
          <w:rStyle w:val="Bodytext1"/>
          <w:color w:val="auto"/>
        </w:rPr>
        <w:t>B</w:t>
      </w:r>
      <w:r>
        <w:rPr>
          <w:rStyle w:val="Bodytext1"/>
          <w:lang w:val="ru-RU"/>
        </w:rPr>
        <w:t>). Таким образом, аллоферон увеличивает процент клеток Panc-1 в фазе sub-G1.</w:t>
      </w:r>
    </w:p>
    <w:p w14:paraId="4D42C6E4" w14:textId="77777777" w:rsidR="00170C30" w:rsidRDefault="00170C30">
      <w:pPr>
        <w:pStyle w:val="Bodytext10"/>
        <w:spacing w:after="60"/>
        <w:ind w:firstLine="440"/>
        <w:jc w:val="both"/>
        <w:rPr>
          <w:rStyle w:val="Bodytext1"/>
          <w:lang w:val="ru-RU"/>
        </w:rPr>
      </w:pPr>
    </w:p>
    <w:p w14:paraId="15D50135" w14:textId="77777777" w:rsidR="00170C30" w:rsidRDefault="00170C30">
      <w:pPr>
        <w:pStyle w:val="Bodytext10"/>
        <w:spacing w:after="60"/>
        <w:ind w:firstLine="440"/>
        <w:jc w:val="both"/>
        <w:rPr>
          <w:rStyle w:val="Bodytext1"/>
          <w:lang w:val="ru-RU"/>
        </w:rPr>
      </w:pPr>
    </w:p>
    <w:p w14:paraId="279C02B5" w14:textId="77777777" w:rsidR="00170C30" w:rsidRDefault="00170C30">
      <w:pPr>
        <w:pStyle w:val="Bodytext10"/>
        <w:spacing w:after="60"/>
        <w:ind w:firstLine="440"/>
        <w:jc w:val="both"/>
        <w:rPr>
          <w:rStyle w:val="Bodytext1"/>
          <w:lang w:val="ru-RU"/>
        </w:rPr>
      </w:pPr>
    </w:p>
    <w:p w14:paraId="272092ED" w14:textId="77777777" w:rsidR="00170C30" w:rsidRDefault="00170C30">
      <w:pPr>
        <w:pStyle w:val="Bodytext10"/>
        <w:spacing w:after="60"/>
        <w:ind w:firstLine="440"/>
        <w:jc w:val="both"/>
        <w:rPr>
          <w:rStyle w:val="Bodytext1"/>
          <w:lang w:val="ru-RU"/>
        </w:rPr>
      </w:pPr>
    </w:p>
    <w:p w14:paraId="27B15847" w14:textId="4D306014" w:rsidR="00170C30" w:rsidRDefault="00170C30" w:rsidP="00170C30">
      <w:pPr>
        <w:pStyle w:val="Bodytext10"/>
        <w:spacing w:after="60"/>
        <w:ind w:firstLine="0"/>
        <w:jc w:val="both"/>
        <w:rPr>
          <w:rStyle w:val="Bodytext1"/>
          <w:lang w:val="ru-RU"/>
        </w:rPr>
      </w:pPr>
      <w:r>
        <w:rPr>
          <w:noProof/>
          <w:lang w:val="ru-RU" w:eastAsia="ru-RU" w:bidi="ar-SA"/>
        </w:rPr>
        <w:lastRenderedPageBreak/>
        <w:drawing>
          <wp:inline distT="0" distB="0" distL="0" distR="0" wp14:anchorId="53E2B535" wp14:editId="3B4E9935">
            <wp:extent cx="5937885" cy="2865120"/>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37885" cy="2865120"/>
                    </a:xfrm>
                    <a:prstGeom prst="rect">
                      <a:avLst/>
                    </a:prstGeom>
                    <a:noFill/>
                  </pic:spPr>
                </pic:pic>
              </a:graphicData>
            </a:graphic>
          </wp:inline>
        </w:drawing>
      </w:r>
    </w:p>
    <w:p w14:paraId="59946EE3" w14:textId="2B856128" w:rsidR="00170C30" w:rsidRDefault="00170C30">
      <w:pPr>
        <w:pStyle w:val="Bodytext10"/>
        <w:spacing w:after="60"/>
        <w:ind w:firstLine="440"/>
        <w:jc w:val="both"/>
        <w:rPr>
          <w:rStyle w:val="Bodytext1"/>
          <w:lang w:val="ru-RU"/>
        </w:rPr>
      </w:pPr>
    </w:p>
    <w:p w14:paraId="745E0E37" w14:textId="3C3C13CB" w:rsidR="00170C30" w:rsidRPr="00CE5466" w:rsidRDefault="00170C30">
      <w:pPr>
        <w:pStyle w:val="Bodytext10"/>
        <w:spacing w:after="60"/>
        <w:ind w:firstLine="440"/>
        <w:jc w:val="both"/>
        <w:rPr>
          <w:lang w:val="ru-RU"/>
        </w:rPr>
      </w:pPr>
      <w:r>
        <w:rPr>
          <w:noProof/>
          <w:lang w:val="ru-RU" w:eastAsia="ru-RU" w:bidi="ar-SA"/>
        </w:rPr>
        <mc:AlternateContent>
          <mc:Choice Requires="wps">
            <w:drawing>
              <wp:anchor distT="0" distB="0" distL="0" distR="1312545" simplePos="0" relativeHeight="251660800" behindDoc="0" locked="0" layoutInCell="1" allowOverlap="1" wp14:anchorId="0675EFDB" wp14:editId="1094595D">
                <wp:simplePos x="0" y="0"/>
                <wp:positionH relativeFrom="margin">
                  <wp:posOffset>339725</wp:posOffset>
                </wp:positionH>
                <wp:positionV relativeFrom="paragraph">
                  <wp:posOffset>117475</wp:posOffset>
                </wp:positionV>
                <wp:extent cx="5027930" cy="1485900"/>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5027930" cy="1485900"/>
                        </a:xfrm>
                        <a:prstGeom prst="rect">
                          <a:avLst/>
                        </a:prstGeom>
                        <a:noFill/>
                      </wps:spPr>
                      <wps:txbx>
                        <w:txbxContent>
                          <w:p w14:paraId="25E3DC10" w14:textId="77777777" w:rsidR="00062B98" w:rsidRPr="00CE5466" w:rsidRDefault="00062B98">
                            <w:pPr>
                              <w:pStyle w:val="Picturecaption10"/>
                              <w:jc w:val="both"/>
                              <w:rPr>
                                <w:lang w:val="ru-RU"/>
                              </w:rPr>
                            </w:pPr>
                            <w:r>
                              <w:rPr>
                                <w:rStyle w:val="Picturecaption1"/>
                                <w:b/>
                                <w:bCs/>
                                <w:lang w:val="ru-RU"/>
                              </w:rPr>
                              <w:t xml:space="preserve">Рисунок 5. </w:t>
                            </w:r>
                            <w:r>
                              <w:rPr>
                                <w:rStyle w:val="Picturecaption1"/>
                                <w:lang w:val="ru-RU"/>
                              </w:rPr>
                              <w:t xml:space="preserve">Изменения в распределении клеточного цикла клеток Panc-1 и AsPC-1, подвергшихся воздействию аллоферона или гемцитабина. После обработки аллофероном или без него в течение 3 недель клетки Panc-1 и AsPC-1 высевали в культуральную чашку площадью 100 </w:t>
                            </w:r>
                            <w:r>
                              <w:rPr>
                                <w:rStyle w:val="Picturecaption1"/>
                                <w:vertAlign w:val="superscript"/>
                                <w:lang w:val="ru-RU"/>
                              </w:rPr>
                              <w:t>см2</w:t>
                            </w:r>
                            <w:r>
                              <w:rPr>
                                <w:rStyle w:val="Picturecaption1"/>
                                <w:lang w:val="ru-RU"/>
                              </w:rPr>
                              <w:t xml:space="preserve">. Затем клетки обрабатывали 4 </w:t>
                            </w:r>
                            <w:r>
                              <w:rPr>
                                <w:rStyle w:val="Picturecaption1"/>
                                <w:sz w:val="15"/>
                                <w:szCs w:val="15"/>
                                <w:lang w:val="ru-RU"/>
                              </w:rPr>
                              <w:t>мк</w:t>
                            </w:r>
                            <w:r>
                              <w:rPr>
                                <w:rStyle w:val="Picturecaption1"/>
                                <w:lang w:val="ru-RU"/>
                              </w:rPr>
                              <w:t xml:space="preserve">г /мл аллофероном, гемцитабином (Panc-1: 0,5 </w:t>
                            </w:r>
                            <w:r>
                              <w:rPr>
                                <w:rStyle w:val="Picturecaption1"/>
                                <w:sz w:val="15"/>
                                <w:szCs w:val="15"/>
                                <w:lang w:val="ru-RU"/>
                              </w:rPr>
                              <w:t>мк</w:t>
                            </w:r>
                            <w:r>
                              <w:rPr>
                                <w:rStyle w:val="Picturecaption1"/>
                                <w:lang w:val="ru-RU"/>
                              </w:rPr>
                              <w:t>М; AsPC -1: 0,0625</w:t>
                            </w:r>
                            <w:r>
                              <w:rPr>
                                <w:rStyle w:val="Picturecaption1"/>
                                <w:sz w:val="15"/>
                                <w:szCs w:val="15"/>
                                <w:lang w:val="ru-RU"/>
                              </w:rPr>
                              <w:t xml:space="preserve"> мк</w:t>
                            </w:r>
                            <w:r>
                              <w:rPr>
                                <w:rStyle w:val="Picturecaption1"/>
                                <w:lang w:val="ru-RU"/>
                              </w:rPr>
                              <w:t xml:space="preserve">М) или их комбинацией в течение 72 часов с последующим окрашиванием пропидий йодидом/РНКазой и проточным цитометрическим анализом.: ( </w:t>
                            </w:r>
                            <w:r>
                              <w:rPr>
                                <w:rStyle w:val="Picturecaption1"/>
                                <w:b/>
                                <w:bCs/>
                                <w:lang w:val="ru-RU"/>
                              </w:rPr>
                              <w:t>A</w:t>
                            </w:r>
                            <w:r>
                              <w:rPr>
                                <w:rStyle w:val="Picturecaption1"/>
                                <w:lang w:val="ru-RU"/>
                              </w:rPr>
                              <w:t xml:space="preserve"> ) Panc-1 и ( </w:t>
                            </w:r>
                            <w:r>
                              <w:rPr>
                                <w:rStyle w:val="Picturecaption1"/>
                                <w:b/>
                                <w:bCs/>
                                <w:lang w:val="ru-RU"/>
                              </w:rPr>
                              <w:t>B</w:t>
                            </w:r>
                            <w:r>
                              <w:rPr>
                                <w:rStyle w:val="Picturecaption1"/>
                                <w:lang w:val="ru-RU"/>
                              </w:rPr>
                              <w:t xml:space="preserve"> ) AsPC-1. Процентное содержание клеток в каждой фазе клеточного цикла указано в гистограмме. Результаты являются репрезентативными для трех независимых экспериментов, и данные представлены как среднее </w:t>
                            </w:r>
                            <w:r>
                              <w:rPr>
                                <w:rStyle w:val="Picturecaption1"/>
                                <w:sz w:val="15"/>
                                <w:szCs w:val="15"/>
                                <w:lang w:val="ru-RU"/>
                              </w:rPr>
                              <w:t>±</w:t>
                            </w:r>
                            <w:r>
                              <w:rPr>
                                <w:rStyle w:val="Picturecaption1"/>
                                <w:lang w:val="ru-RU"/>
                              </w:rPr>
                              <w:t xml:space="preserve"> стандартное отклонение. * </w:t>
                            </w:r>
                            <w:r>
                              <w:rPr>
                                <w:rStyle w:val="Picturecaption1"/>
                                <w:i/>
                                <w:iCs/>
                                <w:lang w:val="ru-RU"/>
                              </w:rPr>
                              <w:t>p</w:t>
                            </w:r>
                            <w:r>
                              <w:rPr>
                                <w:rStyle w:val="Picturecaption1"/>
                                <w:lang w:val="ru-RU"/>
                              </w:rPr>
                              <w:t xml:space="preserve"> &lt;0,05 (гемцитабин суб-G1 по сравнению с комбинацией аллоферон + гемцитабин суб-G1).</w:t>
                            </w:r>
                          </w:p>
                        </w:txbxContent>
                      </wps:txbx>
                      <wps:bodyPr lIns="0" tIns="0" rIns="0" bIns="0">
                        <a:noAutofit/>
                      </wps:bodyPr>
                    </wps:wsp>
                  </a:graphicData>
                </a:graphic>
                <wp14:sizeRelV relativeFrom="margin">
                  <wp14:pctHeight>0</wp14:pctHeight>
                </wp14:sizeRelV>
              </wp:anchor>
            </w:drawing>
          </mc:Choice>
          <mc:Fallback>
            <w:pict>
              <v:shape w14:anchorId="0675EFDB" id="Shape 46" o:spid="_x0000_s1029" type="#_x0000_t202" style="position:absolute;left:0;text-align:left;margin-left:26.75pt;margin-top:9.25pt;width:395.9pt;height:117pt;z-index:251660800;visibility:visible;mso-wrap-style:square;mso-height-percent:0;mso-wrap-distance-left:0;mso-wrap-distance-top:0;mso-wrap-distance-right:103.3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" filled="f" stroked="f">
                <v:textbox inset="0,0,0,0">
                  <w:txbxContent>
                    <w:p w14:paraId="25E3DC10" w14:textId="77777777" w:rsidR="00062B98" w:rsidRPr="00CE5466" w:rsidRDefault="00062B98">
                      <w:pPr>
                        <w:pStyle w:val="Picturecaption10"/>
                        <w:jc w:val="both"/>
                        <w:rPr>
                          <w:lang w:val="ru-RU"/>
                        </w:rPr>
                      </w:pPr>
                      <w:r>
                        <w:rPr>
                          <w:rStyle w:val="Picturecaption1"/>
                          <w:b/>
                          <w:bCs/>
                          <w:lang w:val="ru-RU"/>
                        </w:rPr>
                        <w:t xml:space="preserve">Рисунок 5. </w:t>
                      </w:r>
                      <w:r>
                        <w:rPr>
                          <w:rStyle w:val="Picturecaption1"/>
                          <w:lang w:val="ru-RU"/>
                        </w:rPr>
                        <w:t xml:space="preserve">Изменения в распределении клеточного цикла клеток Panc-1 и AsPC-1, подвергшихся воздействию аллоферона или гемцитабина. После обработки аллофероном или без него в течение 3 недель клетки Panc-1 и AsPC-1 высевали в культуральную чашку площадью 100 </w:t>
                      </w:r>
                      <w:r>
                        <w:rPr>
                          <w:rStyle w:val="Picturecaption1"/>
                          <w:vertAlign w:val="superscript"/>
                          <w:lang w:val="ru-RU"/>
                        </w:rPr>
                        <w:t>см2</w:t>
                      </w:r>
                      <w:r>
                        <w:rPr>
                          <w:rStyle w:val="Picturecaption1"/>
                          <w:lang w:val="ru-RU"/>
                        </w:rPr>
                        <w:t xml:space="preserve">. Затем клетки обрабатывали 4 </w:t>
                      </w:r>
                      <w:r>
                        <w:rPr>
                          <w:rStyle w:val="Picturecaption1"/>
                          <w:sz w:val="15"/>
                          <w:szCs w:val="15"/>
                          <w:lang w:val="ru-RU"/>
                        </w:rPr>
                        <w:t>мк</w:t>
                      </w:r>
                      <w:r>
                        <w:rPr>
                          <w:rStyle w:val="Picturecaption1"/>
                          <w:lang w:val="ru-RU"/>
                        </w:rPr>
                        <w:t xml:space="preserve">г /мл аллофероном, гемцитабином (Panc-1: 0,5 </w:t>
                      </w:r>
                      <w:r>
                        <w:rPr>
                          <w:rStyle w:val="Picturecaption1"/>
                          <w:sz w:val="15"/>
                          <w:szCs w:val="15"/>
                          <w:lang w:val="ru-RU"/>
                        </w:rPr>
                        <w:t>мк</w:t>
                      </w:r>
                      <w:r>
                        <w:rPr>
                          <w:rStyle w:val="Picturecaption1"/>
                          <w:lang w:val="ru-RU"/>
                        </w:rPr>
                        <w:t>М; AsPC -1: 0,0625</w:t>
                      </w:r>
                      <w:r>
                        <w:rPr>
                          <w:rStyle w:val="Picturecaption1"/>
                          <w:sz w:val="15"/>
                          <w:szCs w:val="15"/>
                          <w:lang w:val="ru-RU"/>
                        </w:rPr>
                        <w:t xml:space="preserve"> мк</w:t>
                      </w:r>
                      <w:r>
                        <w:rPr>
                          <w:rStyle w:val="Picturecaption1"/>
                          <w:lang w:val="ru-RU"/>
                        </w:rPr>
                        <w:t xml:space="preserve">М) или их комбинацией в течение 72 часов с последующим окрашиванием пропидий йодидом/РНКазой и проточным цитометрическим анализом.: ( </w:t>
                      </w:r>
                      <w:r>
                        <w:rPr>
                          <w:rStyle w:val="Picturecaption1"/>
                          <w:b/>
                          <w:bCs/>
                          <w:lang w:val="ru-RU"/>
                        </w:rPr>
                        <w:t>A</w:t>
                      </w:r>
                      <w:r>
                        <w:rPr>
                          <w:rStyle w:val="Picturecaption1"/>
                          <w:lang w:val="ru-RU"/>
                        </w:rPr>
                        <w:t xml:space="preserve"> ) Panc-1 и ( </w:t>
                      </w:r>
                      <w:r>
                        <w:rPr>
                          <w:rStyle w:val="Picturecaption1"/>
                          <w:b/>
                          <w:bCs/>
                          <w:lang w:val="ru-RU"/>
                        </w:rPr>
                        <w:t>B</w:t>
                      </w:r>
                      <w:r>
                        <w:rPr>
                          <w:rStyle w:val="Picturecaption1"/>
                          <w:lang w:val="ru-RU"/>
                        </w:rPr>
                        <w:t xml:space="preserve"> ) AsPC-1. Процентное содержание клеток в каждой фазе клеточного цикла указано в гистограмме. Результаты являются репрезентативными для трех независимых экспериментов, и данные представлены как среднее </w:t>
                      </w:r>
                      <w:r>
                        <w:rPr>
                          <w:rStyle w:val="Picturecaption1"/>
                          <w:sz w:val="15"/>
                          <w:szCs w:val="15"/>
                          <w:lang w:val="ru-RU"/>
                        </w:rPr>
                        <w:t>±</w:t>
                      </w:r>
                      <w:r>
                        <w:rPr>
                          <w:rStyle w:val="Picturecaption1"/>
                          <w:lang w:val="ru-RU"/>
                        </w:rPr>
                        <w:t xml:space="preserve"> стандартное отклонение. * </w:t>
                      </w:r>
                      <w:r>
                        <w:rPr>
                          <w:rStyle w:val="Picturecaption1"/>
                          <w:i/>
                          <w:iCs/>
                          <w:lang w:val="ru-RU"/>
                        </w:rPr>
                        <w:t>p</w:t>
                      </w:r>
                      <w:r>
                        <w:rPr>
                          <w:rStyle w:val="Picturecaption1"/>
                          <w:lang w:val="ru-RU"/>
                        </w:rPr>
                        <w:t xml:space="preserve"> &lt;0,05 (гемцитабин суб-G1 по сравнению с комбинацией аллоферон + гемцитабин суб-G1).</w:t>
                      </w:r>
                    </w:p>
                  </w:txbxContent>
                </v:textbox>
                <w10:wrap type="topAndBottom" anchorx="margin"/>
              </v:shape>
            </w:pict>
          </mc:Fallback>
        </mc:AlternateContent>
      </w:r>
    </w:p>
    <w:p w14:paraId="13949CFA" w14:textId="1FE4253D" w:rsidR="00D567C0" w:rsidRDefault="00D567C0">
      <w:pPr>
        <w:spacing w:line="1" w:lineRule="exact"/>
      </w:pPr>
    </w:p>
    <w:p w14:paraId="4756D911" w14:textId="77777777" w:rsidR="00D567C0" w:rsidRDefault="00986B3A" w:rsidP="00986B3A">
      <w:pPr>
        <w:pStyle w:val="Heading110"/>
        <w:keepNext/>
        <w:keepLines/>
        <w:numPr>
          <w:ilvl w:val="0"/>
          <w:numId w:val="9"/>
        </w:numPr>
        <w:tabs>
          <w:tab w:val="left" w:pos="275"/>
        </w:tabs>
      </w:pPr>
      <w:r>
        <w:rPr>
          <w:rStyle w:val="Heading11"/>
          <w:b/>
          <w:bCs/>
          <w:lang w:val="ru-RU"/>
        </w:rPr>
        <w:t>О</w:t>
      </w:r>
      <w:r w:rsidR="00663008">
        <w:rPr>
          <w:rStyle w:val="Heading11"/>
          <w:b/>
          <w:bCs/>
          <w:lang w:val="ru-RU"/>
        </w:rPr>
        <w:t>бсуждение</w:t>
      </w:r>
    </w:p>
    <w:p w14:paraId="69D24E7E" w14:textId="77777777" w:rsidR="00D567C0" w:rsidRPr="00CE5466" w:rsidRDefault="00F96AE2">
      <w:pPr>
        <w:pStyle w:val="Bodytext10"/>
        <w:spacing w:after="0"/>
        <w:ind w:firstLine="460"/>
        <w:jc w:val="both"/>
        <w:rPr>
          <w:lang w:val="ru-RU"/>
        </w:rPr>
      </w:pPr>
      <w:r>
        <w:rPr>
          <w:rStyle w:val="Bodytext1"/>
          <w:lang w:val="ru-RU"/>
        </w:rPr>
        <w:t xml:space="preserve">Причина развития РПЖ по-прежнему в до конца неизвестна, и до сих пор не существует эффективных методов лечения (кроме ранней резекции), продлевающих выживаемость </w:t>
      </w:r>
      <w:hyperlink w:anchor="bookmark35" w:tooltip="Current Document" w:history="1">
        <w:r>
          <w:rPr>
            <w:rStyle w:val="Bodytext1"/>
            <w:lang w:val="ru-RU"/>
          </w:rPr>
          <w:t>[</w:t>
        </w:r>
        <w:r>
          <w:rPr>
            <w:rStyle w:val="Bodytext1"/>
            <w:color w:val="0875B7"/>
            <w:lang w:val="ru-RU"/>
          </w:rPr>
          <w:t>2</w:t>
        </w:r>
        <w:r>
          <w:rPr>
            <w:rStyle w:val="Bodytext1"/>
            <w:lang w:val="ru-RU"/>
          </w:rPr>
          <w:t>]</w:t>
        </w:r>
      </w:hyperlink>
      <w:r>
        <w:rPr>
          <w:rStyle w:val="Bodytext1"/>
          <w:lang w:val="ru-RU"/>
        </w:rPr>
        <w:t xml:space="preserve">. На сегодняшний день многие исследования направлены на достижение максимального эффекта гемцитабина в качестве средства для лечения РПЖ путем комбинирования его с другими </w:t>
      </w:r>
      <w:r>
        <w:rPr>
          <w:rStyle w:val="Bodytext1"/>
          <w:lang w:val="ru-RU"/>
        </w:rPr>
        <w:softHyphen/>
        <w:t xml:space="preserve">противоопухолевыми препаратами. Однако повышенная токсичность лекарств и индукция резистентности раковых клеток остаются самыми большими препятствиями </w:t>
      </w:r>
      <w:hyperlink w:anchor="bookmark62" w:tooltip="Current Document" w:history="1">
        <w:r>
          <w:rPr>
            <w:rStyle w:val="Bodytext1"/>
            <w:lang w:val="ru-RU"/>
          </w:rPr>
          <w:t>[</w:t>
        </w:r>
        <w:r>
          <w:rPr>
            <w:rStyle w:val="Bodytext1"/>
            <w:color w:val="0875B7"/>
            <w:lang w:val="ru-RU"/>
          </w:rPr>
          <w:t>44-47</w:t>
        </w:r>
      </w:hyperlink>
      <w:hyperlink w:anchor="bookmark63" w:tooltip="Current Document" w:history="1">
        <w:r>
          <w:rPr>
            <w:rStyle w:val="Bodytext1"/>
            <w:lang w:val="ru-RU"/>
          </w:rPr>
          <w:t>]</w:t>
        </w:r>
      </w:hyperlink>
      <w:r>
        <w:rPr>
          <w:rStyle w:val="Bodytext1"/>
          <w:lang w:val="ru-RU"/>
        </w:rPr>
        <w:t xml:space="preserve">. По этой причине целью этого исследования было изучение адъювантных эффектов аллоферона, пептидного препарата, вырабатываемого иммунной системой насекомых и который, как известно, обладает потенциальными противоопухолевыми эффектами </w:t>
      </w:r>
      <w:hyperlink w:anchor="bookmark58" w:tooltip="Current Document" w:history="1">
        <w:r>
          <w:rPr>
            <w:rStyle w:val="Bodytext1"/>
            <w:lang w:val="ru-RU"/>
          </w:rPr>
          <w:t>[</w:t>
        </w:r>
        <w:r>
          <w:rPr>
            <w:rStyle w:val="Bodytext1"/>
            <w:color w:val="0875B7"/>
            <w:lang w:val="ru-RU"/>
          </w:rPr>
          <w:t>40,41</w:t>
        </w:r>
      </w:hyperlink>
      <w:hyperlink w:anchor="bookmark59" w:tooltip="Current Document" w:history="1">
        <w:r>
          <w:rPr>
            <w:rStyle w:val="Bodytext1"/>
            <w:lang w:val="ru-RU"/>
          </w:rPr>
          <w:t>]</w:t>
        </w:r>
      </w:hyperlink>
      <w:r>
        <w:rPr>
          <w:rStyle w:val="Bodytext1"/>
          <w:lang w:val="ru-RU"/>
        </w:rPr>
        <w:t>.</w:t>
      </w:r>
    </w:p>
    <w:p w14:paraId="441A3880" w14:textId="77777777" w:rsidR="00D567C0" w:rsidRPr="00CE5466" w:rsidRDefault="00F96AE2">
      <w:pPr>
        <w:pStyle w:val="Bodytext10"/>
        <w:spacing w:after="60"/>
        <w:ind w:firstLine="460"/>
        <w:jc w:val="both"/>
        <w:rPr>
          <w:lang w:val="ru-RU"/>
        </w:rPr>
        <w:sectPr w:rsidR="00D567C0" w:rsidRPr="00CE5466" w:rsidSect="00170C30">
          <w:type w:val="continuous"/>
          <w:pgSz w:w="11900" w:h="16840"/>
          <w:pgMar w:top="1737" w:right="659" w:bottom="1321" w:left="1843" w:header="0" w:footer="3" w:gutter="0"/>
          <w:cols w:space="720"/>
          <w:noEndnote/>
          <w:docGrid w:linePitch="360"/>
        </w:sectPr>
      </w:pPr>
      <w:r>
        <w:rPr>
          <w:rStyle w:val="Bodytext1"/>
          <w:lang w:val="ru-RU"/>
        </w:rPr>
        <w:t xml:space="preserve">Для этого мы исследовали, изменяет ли аллоферон экспрессию SLC6A14, который высоко экспрессируется в клетках РПЖ и тесно связан с метастазированием, пролиферацией и устойчивостью к химиотерапевтическим препаратам </w:t>
      </w:r>
      <w:hyperlink w:anchor="bookmark53" w:tooltip="Current Document" w:history="1">
        <w:r>
          <w:rPr>
            <w:rStyle w:val="Bodytext1"/>
            <w:lang w:val="ru-RU"/>
          </w:rPr>
          <w:t>[</w:t>
        </w:r>
        <w:r>
          <w:rPr>
            <w:rStyle w:val="Bodytext1"/>
            <w:color w:val="0875B7"/>
            <w:lang w:val="ru-RU"/>
          </w:rPr>
          <w:t>34</w:t>
        </w:r>
        <w:r>
          <w:rPr>
            <w:rStyle w:val="Bodytext1"/>
            <w:lang w:val="ru-RU"/>
          </w:rPr>
          <w:t>]</w:t>
        </w:r>
      </w:hyperlink>
      <w:r>
        <w:rPr>
          <w:rStyle w:val="Bodytext1"/>
          <w:lang w:val="ru-RU"/>
        </w:rPr>
        <w:t xml:space="preserve">. </w:t>
      </w:r>
      <w:r w:rsidRPr="00052581">
        <w:rPr>
          <w:rStyle w:val="Bodytext1"/>
          <w:color w:val="C0504D" w:themeColor="accent2"/>
          <w:lang w:val="ru-RU"/>
        </w:rPr>
        <w:t xml:space="preserve">Как и ожидалось, экспрессия SLC6A14 на клеточных линиях РПЖ Panc-1 и AsPC-1 была существенно снижена при обработке аллофероном в течение 3 недель, даже несмотря на то, что экспрессия не менялась в течение первой недели (рисунки 1 и </w:t>
      </w:r>
      <w:hyperlink w:anchor="bookmark23" w:tooltip="Current Document" w:history="1">
        <w:r w:rsidRPr="00052581">
          <w:rPr>
            <w:rStyle w:val="Bodytext1"/>
            <w:color w:val="C0504D" w:themeColor="accent2"/>
            <w:lang w:val="ru-RU"/>
          </w:rPr>
          <w:t>2)</w:t>
        </w:r>
      </w:hyperlink>
      <w:r w:rsidRPr="00052581">
        <w:rPr>
          <w:rStyle w:val="Bodytext1"/>
          <w:color w:val="C0504D" w:themeColor="accent2"/>
          <w:lang w:val="ru-RU"/>
        </w:rPr>
        <w:t>.</w:t>
      </w:r>
      <w:r>
        <w:rPr>
          <w:rStyle w:val="Bodytext1"/>
          <w:lang w:val="ru-RU"/>
        </w:rPr>
        <w:t xml:space="preserve"> Находкой стала то, что экспрессия SLC6A14 была выше в Panc-1, чем в AsPC-1, и что изменения в поглощении глутамина и статусе клеточного цикла в ответ на аллоферон были более значимыми для Panc-1, чем для AsPC-1. Основываясь на роли SLC6A14 в метаболизме и росте раковых клеток и обнаружении того, что Panc-1 является более злокачественным, чем AsPC-1 </w:t>
      </w:r>
      <w:hyperlink w:anchor="bookmark64" w:tooltip="Current Document" w:history="1">
        <w:r>
          <w:rPr>
            <w:rStyle w:val="Bodytext1"/>
            <w:lang w:val="ru-RU"/>
          </w:rPr>
          <w:t>[</w:t>
        </w:r>
        <w:r>
          <w:rPr>
            <w:rStyle w:val="Bodytext1"/>
            <w:color w:val="0875B7"/>
            <w:lang w:val="ru-RU"/>
          </w:rPr>
          <w:t>48</w:t>
        </w:r>
      </w:hyperlink>
      <w:hyperlink w:anchor="bookmark65" w:tooltip="Current Document" w:history="1">
        <w:r>
          <w:rPr>
            <w:rStyle w:val="Bodytext1"/>
            <w:lang w:val="ru-RU"/>
          </w:rPr>
          <w:t>,</w:t>
        </w:r>
        <w:r>
          <w:rPr>
            <w:rStyle w:val="Bodytext1"/>
            <w:color w:val="0875B7"/>
            <w:lang w:val="ru-RU"/>
          </w:rPr>
          <w:t>49</w:t>
        </w:r>
        <w:r>
          <w:rPr>
            <w:rStyle w:val="Bodytext1"/>
            <w:lang w:val="ru-RU"/>
          </w:rPr>
          <w:t>]</w:t>
        </w:r>
      </w:hyperlink>
      <w:r>
        <w:rPr>
          <w:rStyle w:val="Bodytext1"/>
          <w:lang w:val="ru-RU"/>
        </w:rPr>
        <w:t xml:space="preserve"> , </w:t>
      </w:r>
      <w:r w:rsidRPr="00052581">
        <w:rPr>
          <w:rStyle w:val="Bodytext1"/>
          <w:color w:val="C0504D" w:themeColor="accent2"/>
          <w:lang w:val="ru-RU"/>
        </w:rPr>
        <w:t xml:space="preserve">данные позволяют предположить, что аллоферон можно использовать в качестве химиоадъювантного препарата для регуляции метастазирования и распространения более агрессивных видов рака. </w:t>
      </w:r>
      <w:r>
        <w:rPr>
          <w:rStyle w:val="Bodytext1"/>
          <w:lang w:val="ru-RU"/>
        </w:rPr>
        <w:t>Глутамин необходим для пролиферации, синтеза белка и химиорезистентности в раковых клетках; таким образом, говор</w:t>
      </w:r>
      <w:r w:rsidR="00CE5466">
        <w:rPr>
          <w:rStyle w:val="Bodytext1"/>
          <w:lang w:val="ru-RU"/>
        </w:rPr>
        <w:t xml:space="preserve">ят, что раковые клетки страдают </w:t>
      </w:r>
      <w:r w:rsidR="00DF21C8" w:rsidRPr="00DF21C8">
        <w:rPr>
          <w:rStyle w:val="Bodytext1"/>
          <w:lang w:val="ru-RU"/>
        </w:rPr>
        <w:t>"</w:t>
      </w:r>
      <w:r>
        <w:rPr>
          <w:rStyle w:val="Bodytext1"/>
          <w:lang w:val="ru-RU"/>
        </w:rPr>
        <w:t xml:space="preserve">глутаминовой зависимостью" </w:t>
      </w:r>
      <w:hyperlink w:anchor="bookmark40" w:tooltip="Current Document" w:history="1">
        <w:r>
          <w:rPr>
            <w:rStyle w:val="Bodytext1"/>
            <w:lang w:val="ru-RU"/>
          </w:rPr>
          <w:t>[</w:t>
        </w:r>
        <w:r>
          <w:rPr>
            <w:rStyle w:val="Bodytext1"/>
            <w:color w:val="0875B7"/>
            <w:lang w:val="ru-RU"/>
          </w:rPr>
          <w:t>9,17,24,25</w:t>
        </w:r>
      </w:hyperlink>
      <w:hyperlink w:anchor="bookmark45" w:tooltip="Current Document" w:history="1">
        <w:r>
          <w:rPr>
            <w:rStyle w:val="Bodytext1"/>
            <w:lang w:val="ru-RU"/>
          </w:rPr>
          <w:t>]</w:t>
        </w:r>
      </w:hyperlink>
      <w:r>
        <w:rPr>
          <w:rStyle w:val="Bodytext1"/>
          <w:lang w:val="ru-RU"/>
        </w:rPr>
        <w:t xml:space="preserve">. Глутамин, поглощаемый SLC6A14, используется в качестве митохондриального субстрата для производства энергии и биосинтеза. Помимо прочего, метаболизм глутамина подпитывает цикл трикарбоновых кислот, биосинтез нуклеотидов и жирных кислот и окислительно-восстановительный баланс в </w:t>
      </w:r>
      <w:r>
        <w:rPr>
          <w:rStyle w:val="Bodytext1"/>
          <w:lang w:val="ru-RU"/>
        </w:rPr>
        <w:lastRenderedPageBreak/>
        <w:t xml:space="preserve">раковых клетках. Помимо этого, глутамин активирует передачу сигналов mTOR, тем самым уменьшая нагрузку на эндоплазматический ретикулум и способствуя синтезу белка </w:t>
      </w:r>
      <w:hyperlink w:anchor="bookmark66" w:tooltip="Current Document" w:history="1">
        <w:r>
          <w:rPr>
            <w:rStyle w:val="Bodytext1"/>
            <w:lang w:val="ru-RU"/>
          </w:rPr>
          <w:t>[</w:t>
        </w:r>
        <w:r>
          <w:rPr>
            <w:rStyle w:val="Bodytext1"/>
            <w:color w:val="0875B7"/>
            <w:lang w:val="ru-RU"/>
          </w:rPr>
          <w:t>50-53</w:t>
        </w:r>
      </w:hyperlink>
      <w:hyperlink w:anchor="bookmark67" w:tooltip="Current Document" w:history="1">
        <w:r>
          <w:rPr>
            <w:rStyle w:val="Bodytext1"/>
            <w:lang w:val="ru-RU"/>
          </w:rPr>
          <w:t>]</w:t>
        </w:r>
      </w:hyperlink>
      <w:r>
        <w:rPr>
          <w:rStyle w:val="Bodytext1"/>
          <w:lang w:val="ru-RU"/>
        </w:rPr>
        <w:t xml:space="preserve">. Следовательно, супрессия поглощения глутамина посредством подавления экспрессии SLC6A14 способно повысить эффективность химиотерапии рака </w:t>
      </w:r>
      <w:hyperlink w:anchor="bookmark51" w:tooltip="Current Document" w:history="1">
        <w:r>
          <w:rPr>
            <w:rStyle w:val="Bodytext1"/>
            <w:lang w:val="ru-RU"/>
          </w:rPr>
          <w:t>[</w:t>
        </w:r>
        <w:r>
          <w:rPr>
            <w:rStyle w:val="Bodytext1"/>
            <w:color w:val="0875B7"/>
            <w:lang w:val="ru-RU"/>
          </w:rPr>
          <w:t>32,33,35,54</w:t>
        </w:r>
      </w:hyperlink>
      <w:hyperlink w:anchor="bookmark69" w:tooltip="Current Document" w:history="1">
        <w:r>
          <w:rPr>
            <w:rStyle w:val="Bodytext1"/>
            <w:lang w:val="ru-RU"/>
          </w:rPr>
          <w:t>–</w:t>
        </w:r>
        <w:r>
          <w:rPr>
            <w:rStyle w:val="Bodytext1"/>
            <w:color w:val="0875B7"/>
            <w:lang w:val="ru-RU"/>
          </w:rPr>
          <w:t>56</w:t>
        </w:r>
        <w:r>
          <w:rPr>
            <w:rStyle w:val="Bodytext1"/>
            <w:lang w:val="ru-RU"/>
          </w:rPr>
          <w:t>]</w:t>
        </w:r>
      </w:hyperlink>
      <w:r>
        <w:rPr>
          <w:rStyle w:val="Bodytext1"/>
          <w:lang w:val="ru-RU"/>
        </w:rPr>
        <w:t>.</w:t>
      </w:r>
    </w:p>
    <w:p w14:paraId="3CF66296" w14:textId="77777777" w:rsidR="00D567C0" w:rsidRPr="00CE5466" w:rsidRDefault="00F96AE2">
      <w:pPr>
        <w:pStyle w:val="Bodytext10"/>
        <w:spacing w:after="0"/>
        <w:ind w:left="2620" w:firstLine="440"/>
        <w:jc w:val="both"/>
        <w:rPr>
          <w:lang w:val="ru-RU"/>
        </w:rPr>
      </w:pPr>
      <w:r w:rsidRPr="00BC176B">
        <w:rPr>
          <w:rStyle w:val="Bodytext1"/>
          <w:color w:val="C0504D" w:themeColor="accent2"/>
          <w:lang w:val="ru-RU"/>
        </w:rPr>
        <w:lastRenderedPageBreak/>
        <w:t>Как продемонстрировано на рисунке 4, аллоферон снижал поглощение глутамина в клетках Panc-1, а также понижал его внутриклеточную концентрацию. Это говорит о том, что аллоферон может быть эффективным подавителем “глутаминовой зависимости”.</w:t>
      </w:r>
      <w:r>
        <w:rPr>
          <w:rStyle w:val="Bodytext1"/>
          <w:lang w:val="ru-RU"/>
        </w:rPr>
        <w:t xml:space="preserve"> Основная причина сравнения изменения экспрессии SLC6A14 с изменением поглощения глутамина при лечении аллофероном как у Panc-1, так и у AsPC-1 заключается в том, что Panc-1 обладает высокой резистентностью к гемцитабину, в то время как AsPC-1 более чувствителен к нему. Иными словами, предполагалось, что степень экспрессии SLC6A14 в РПЖ против гемцитабина является фактором химиочувствительности к гемцитабину. Считается, что высокая экспрессия SLC6A14 в Panc-1 и возникающее в результате этого увеличение поглощения глутамина являются причиной высокой резистентности к гемцитабину. Как показано на рис. </w:t>
      </w:r>
      <w:hyperlink w:anchor="bookmark23" w:tooltip="Current Document" w:history="1">
        <w:r>
          <w:rPr>
            <w:rStyle w:val="Bodytext1"/>
            <w:color w:val="0875B7"/>
            <w:lang w:val="ru-RU"/>
          </w:rPr>
          <w:t>2</w:t>
        </w:r>
        <w:r>
          <w:rPr>
            <w:rStyle w:val="Bodytext1"/>
            <w:lang w:val="ru-RU"/>
          </w:rPr>
          <w:t xml:space="preserve"> A</w:t>
        </w:r>
      </w:hyperlink>
      <w:r>
        <w:rPr>
          <w:rStyle w:val="Bodytext1"/>
          <w:lang w:val="ru-RU"/>
        </w:rPr>
        <w:t>,</w:t>
      </w:r>
      <w:r w:rsidR="004E1AD5" w:rsidRPr="004E1AD5">
        <w:rPr>
          <w:rStyle w:val="Bodytext1"/>
          <w:lang w:val="ru-RU"/>
        </w:rPr>
        <w:t xml:space="preserve"> </w:t>
      </w:r>
      <w:r>
        <w:rPr>
          <w:rStyle w:val="Bodytext1"/>
          <w:lang w:val="ru-RU"/>
        </w:rPr>
        <w:t xml:space="preserve">B, можно подтвердить, что относительная экспрессия SLC6A14 значительно ниже в AsPC-1 в сравнении с Panc-1. Данный факт подразумевает прямую корреляцию с меньшим количеством поглощения глутамина в AsPC-1 по сравнению с Panc-1 (рис. </w:t>
      </w:r>
      <w:r>
        <w:rPr>
          <w:rStyle w:val="Bodytext1"/>
          <w:color w:val="0875B7"/>
          <w:lang w:val="ru-RU"/>
        </w:rPr>
        <w:t>4</w:t>
      </w:r>
      <w:r>
        <w:rPr>
          <w:rStyle w:val="Bodytext1"/>
          <w:lang w:val="ru-RU"/>
        </w:rPr>
        <w:t>). Поскольку количество экспрессии SLC6A14 в основном значительно ниже в AsPC-1, чем в Panc-1, несмотря на то, что SLC6A14 был снижен в AsPC- 1 аллофероном (рис. 1</w:t>
      </w:r>
      <w:r>
        <w:rPr>
          <w:rStyle w:val="Bodytext1"/>
          <w:color w:val="0875B7"/>
          <w:lang w:val="ru-RU"/>
        </w:rPr>
        <w:t>B</w:t>
      </w:r>
      <w:r>
        <w:rPr>
          <w:rStyle w:val="Bodytext1"/>
          <w:lang w:val="ru-RU"/>
        </w:rPr>
        <w:t xml:space="preserve"> и </w:t>
      </w:r>
      <w:hyperlink w:anchor="bookmark23" w:tooltip="Current Document" w:history="1">
        <w:r>
          <w:rPr>
            <w:rStyle w:val="Bodytext1"/>
            <w:color w:val="0875B7"/>
            <w:lang w:val="ru-RU"/>
          </w:rPr>
          <w:t>2</w:t>
        </w:r>
        <w:r>
          <w:rPr>
            <w:rStyle w:val="Bodytext1"/>
            <w:lang w:val="ru-RU"/>
          </w:rPr>
          <w:t>B</w:t>
        </w:r>
      </w:hyperlink>
      <w:r>
        <w:rPr>
          <w:rStyle w:val="Bodytext1"/>
          <w:lang w:val="ru-RU"/>
        </w:rPr>
        <w:t xml:space="preserve"> и дополнительный рисунок S1), подразумевается, что нет существенной разницы в количестве поглощаемого глутамина.</w:t>
      </w:r>
    </w:p>
    <w:p w14:paraId="5330F766" w14:textId="77777777" w:rsidR="00D567C0" w:rsidRPr="00CE5466" w:rsidRDefault="00F96AE2">
      <w:pPr>
        <w:pStyle w:val="Bodytext10"/>
        <w:spacing w:after="0"/>
        <w:ind w:left="2620" w:firstLine="440"/>
        <w:jc w:val="both"/>
        <w:rPr>
          <w:lang w:val="ru-RU"/>
        </w:rPr>
      </w:pPr>
      <w:r>
        <w:rPr>
          <w:rStyle w:val="Bodytext1"/>
          <w:lang w:val="ru-RU"/>
        </w:rPr>
        <w:t xml:space="preserve">Затем мы исследовали, повышается ли химиочувствительность клеточных линий РПЖ к гемцитабину после воздействия аллоферона в течение 3 недель. В отсутствие аллоферона значение IC50 гемцитабина в Panc-1 было выше, чем в AsPC-1 (11,83 </w:t>
      </w:r>
      <w:r>
        <w:rPr>
          <w:rStyle w:val="Bodytext1"/>
          <w:sz w:val="17"/>
          <w:szCs w:val="17"/>
          <w:lang w:val="ru-RU"/>
        </w:rPr>
        <w:t>±</w:t>
      </w:r>
      <w:r>
        <w:rPr>
          <w:rStyle w:val="Bodytext1"/>
          <w:lang w:val="ru-RU"/>
        </w:rPr>
        <w:t xml:space="preserve"> 1,47 </w:t>
      </w:r>
      <w:r>
        <w:rPr>
          <w:rStyle w:val="Bodytext1"/>
          <w:sz w:val="17"/>
          <w:szCs w:val="17"/>
          <w:lang w:val="ru-RU"/>
        </w:rPr>
        <w:t>мк</w:t>
      </w:r>
      <w:r>
        <w:rPr>
          <w:rStyle w:val="Bodytext1"/>
          <w:lang w:val="ru-RU"/>
        </w:rPr>
        <w:t xml:space="preserve">м против 4,04 </w:t>
      </w:r>
      <w:r>
        <w:rPr>
          <w:rStyle w:val="Bodytext1"/>
          <w:sz w:val="17"/>
          <w:szCs w:val="17"/>
          <w:lang w:val="ru-RU"/>
        </w:rPr>
        <w:t>±</w:t>
      </w:r>
      <w:r>
        <w:rPr>
          <w:rStyle w:val="Bodytext1"/>
          <w:lang w:val="ru-RU"/>
        </w:rPr>
        <w:t xml:space="preserve"> 1,54 </w:t>
      </w:r>
      <w:r>
        <w:rPr>
          <w:rStyle w:val="Bodytext1"/>
          <w:sz w:val="17"/>
          <w:szCs w:val="17"/>
          <w:lang w:val="ru-RU"/>
        </w:rPr>
        <w:t>мк</w:t>
      </w:r>
      <w:r>
        <w:rPr>
          <w:rStyle w:val="Bodytext1"/>
          <w:lang w:val="ru-RU"/>
        </w:rPr>
        <w:t xml:space="preserve">м соответственно; рисунок </w:t>
      </w:r>
      <w:r>
        <w:rPr>
          <w:rStyle w:val="Bodytext1"/>
          <w:color w:val="0875B7"/>
          <w:lang w:val="ru-RU"/>
        </w:rPr>
        <w:t>3</w:t>
      </w:r>
      <w:r>
        <w:rPr>
          <w:rStyle w:val="Bodytext1"/>
          <w:lang w:val="ru-RU"/>
        </w:rPr>
        <w:t xml:space="preserve">). Более того, IC50 снизился после обработки аллофероном (Panc-1: 9,22 </w:t>
      </w:r>
      <w:r>
        <w:rPr>
          <w:rStyle w:val="Bodytext1"/>
          <w:sz w:val="17"/>
          <w:szCs w:val="17"/>
          <w:lang w:val="ru-RU"/>
        </w:rPr>
        <w:t>±</w:t>
      </w:r>
      <w:r>
        <w:rPr>
          <w:rStyle w:val="Bodytext1"/>
          <w:lang w:val="ru-RU"/>
        </w:rPr>
        <w:t xml:space="preserve"> 1,01 </w:t>
      </w:r>
      <w:r>
        <w:rPr>
          <w:rStyle w:val="Bodytext1"/>
          <w:sz w:val="17"/>
          <w:szCs w:val="17"/>
          <w:lang w:val="ru-RU"/>
        </w:rPr>
        <w:t>мк</w:t>
      </w:r>
      <w:r>
        <w:rPr>
          <w:rStyle w:val="Bodytext1"/>
          <w:lang w:val="ru-RU"/>
        </w:rPr>
        <w:t xml:space="preserve">м; AsPC-1: 3,12 </w:t>
      </w:r>
      <w:r>
        <w:rPr>
          <w:rStyle w:val="Bodytext1"/>
          <w:sz w:val="17"/>
          <w:szCs w:val="17"/>
          <w:lang w:val="ru-RU"/>
        </w:rPr>
        <w:t>±</w:t>
      </w:r>
      <w:r>
        <w:rPr>
          <w:rStyle w:val="Bodytext1"/>
          <w:lang w:val="ru-RU"/>
        </w:rPr>
        <w:t xml:space="preserve"> 0,39 </w:t>
      </w:r>
      <w:r>
        <w:rPr>
          <w:rStyle w:val="Bodytext1"/>
          <w:sz w:val="17"/>
          <w:szCs w:val="17"/>
          <w:lang w:val="ru-RU"/>
        </w:rPr>
        <w:t>мк</w:t>
      </w:r>
      <w:r>
        <w:rPr>
          <w:rStyle w:val="Bodytext1"/>
          <w:lang w:val="ru-RU"/>
        </w:rPr>
        <w:t xml:space="preserve">м). Предполагается, что разница в IC50 для двух клеточных линий снова обусловлена различиями в экспрессии SLC6A14. </w:t>
      </w:r>
      <w:r w:rsidRPr="00EA73E8">
        <w:rPr>
          <w:rStyle w:val="Bodytext1"/>
          <w:color w:val="C0504D" w:themeColor="accent2"/>
          <w:lang w:val="ru-RU"/>
        </w:rPr>
        <w:t>Так или иначе, результаты свидетельствуют о том, что аллоферон способен повышать химиочувствительность РПЖ к гемцитабину, особенно клеток РПЖ с высокой экспрессией SLC6A14.</w:t>
      </w:r>
    </w:p>
    <w:p w14:paraId="188FD4E8" w14:textId="77777777" w:rsidR="00D567C0" w:rsidRPr="00CE5466" w:rsidRDefault="00F96AE2">
      <w:pPr>
        <w:pStyle w:val="Bodytext10"/>
        <w:spacing w:after="0"/>
        <w:ind w:left="2620" w:firstLine="440"/>
        <w:jc w:val="both"/>
        <w:rPr>
          <w:lang w:val="ru-RU"/>
        </w:rPr>
      </w:pPr>
      <w:r>
        <w:rPr>
          <w:rStyle w:val="Bodytext1"/>
          <w:lang w:val="ru-RU"/>
        </w:rPr>
        <w:t xml:space="preserve">Поскольку гемцитабин имеет цитотоксическое действие, блокируя синтез ДНК, мы изучали изменения в распределении клеточного цикла после обработки гемцитабином в присутствии и отсутствии аллоферона. Клеточные линии РПЖ подвергались воздействию нецитотоксических концентраций гемцитабина после предварительной обработки аллофероном в течение 3 недель. Популяция клеток Panc-1 в суб-G1 увеличилась незначительно, но заметно (2,1 </w:t>
      </w:r>
      <w:r>
        <w:rPr>
          <w:rStyle w:val="Bodytext1"/>
          <w:sz w:val="17"/>
          <w:szCs w:val="17"/>
          <w:lang w:val="ru-RU"/>
        </w:rPr>
        <w:t>±</w:t>
      </w:r>
      <w:r>
        <w:rPr>
          <w:rStyle w:val="Bodytext1"/>
          <w:lang w:val="ru-RU"/>
        </w:rPr>
        <w:t xml:space="preserve"> 0,3% до по сравнению с 3,5 </w:t>
      </w:r>
      <w:r>
        <w:rPr>
          <w:rStyle w:val="Bodytext1"/>
          <w:sz w:val="17"/>
          <w:szCs w:val="17"/>
          <w:lang w:val="ru-RU"/>
        </w:rPr>
        <w:t>±</w:t>
      </w:r>
      <w:r>
        <w:rPr>
          <w:rStyle w:val="Bodytext1"/>
          <w:lang w:val="ru-RU"/>
        </w:rPr>
        <w:t xml:space="preserve"> 0,3% после, </w:t>
      </w:r>
      <w:r>
        <w:rPr>
          <w:rStyle w:val="Bodytext1"/>
          <w:i/>
          <w:iCs/>
          <w:lang w:val="ru-RU"/>
        </w:rPr>
        <w:t>р</w:t>
      </w:r>
      <w:r>
        <w:rPr>
          <w:rStyle w:val="Bodytext1"/>
          <w:lang w:val="ru-RU"/>
        </w:rPr>
        <w:t xml:space="preserve"> = 0,02; рисунок </w:t>
      </w:r>
      <w:r>
        <w:rPr>
          <w:rStyle w:val="Bodytext1"/>
          <w:color w:val="0875B7"/>
          <w:lang w:val="ru-RU"/>
        </w:rPr>
        <w:t>5</w:t>
      </w:r>
      <w:r>
        <w:rPr>
          <w:rStyle w:val="Bodytext1"/>
          <w:lang w:val="ru-RU"/>
        </w:rPr>
        <w:t>). Несмотря на то, что мы обнаружили незначительное увеличение количества мертвых клеток на стадии суб-G1 с 2,1 до 3,5 процентов и отсутствие существенных изменений в клетках AsPC–1, мы доп</w:t>
      </w:r>
      <w:r w:rsidR="004E1AD5">
        <w:rPr>
          <w:rStyle w:val="Bodytext1"/>
          <w:lang w:val="ru-RU"/>
        </w:rPr>
        <w:t>олнительно провели анализ TUNEL</w:t>
      </w:r>
      <w:r w:rsidR="004E1AD5" w:rsidRPr="004E1AD5">
        <w:rPr>
          <w:rStyle w:val="Bodytext1"/>
          <w:lang w:val="ru-RU"/>
        </w:rPr>
        <w:t xml:space="preserve"> </w:t>
      </w:r>
      <w:r>
        <w:rPr>
          <w:rStyle w:val="Bodytext1"/>
          <w:lang w:val="ru-RU"/>
        </w:rPr>
        <w:t>целью подтверждения этого изменения. Как показано на дополнительных рисунках S4 и S5, TUNEL-позитивные клетки были обнаружены как в “Гемцитабине”, так и в комбинации “Аллоферон + Гемцитабин”, но статистической значимости не было выявлено. Это согласуется с результатами по поглощению глутамина и IC50 гемцитабина; мы не выявили значимых изменений в распределении клеточного цикла клеток AsPC-1. Опять же, это, скорее всего, связано с тем фактом, что экспрессия SLC6A14 в клетках AsPC-1 на порядок ниже, чем в клетках Panc-1. Таким образом, есть смысл дополнительно изучить в экспериментах эффект аллоферона и гемцитабина in vivo с использованием модели ксенотрансплантата.</w:t>
      </w:r>
    </w:p>
    <w:p w14:paraId="60E77B61" w14:textId="77777777" w:rsidR="00D567C0" w:rsidRPr="00CE5466" w:rsidRDefault="00F96AE2">
      <w:pPr>
        <w:pStyle w:val="Bodytext10"/>
        <w:spacing w:after="0"/>
        <w:ind w:left="2620" w:firstLine="440"/>
        <w:jc w:val="both"/>
        <w:rPr>
          <w:lang w:val="ru-RU"/>
        </w:rPr>
      </w:pPr>
      <w:r w:rsidRPr="00EA73E8">
        <w:rPr>
          <w:rStyle w:val="Bodytext1"/>
          <w:color w:val="C0504D" w:themeColor="accent2"/>
          <w:lang w:val="ru-RU"/>
        </w:rPr>
        <w:t>В совокупности представленные здесь результаты позволяют предположить, что аллоферон может быть полезным адъювантом для химиотерапии на основе гемцитабина при РПЖ, в частности при РПЖ, который экспрессирует высокие уровни SLC6A14 и обладает высокой устойчивостью к гемцитабину.</w:t>
      </w:r>
      <w:r>
        <w:rPr>
          <w:rStyle w:val="Bodytext1"/>
          <w:lang w:val="ru-RU"/>
        </w:rPr>
        <w:t xml:space="preserve"> Однако для подтверждения этих данных необходимы дальнейшие исследования с использованием других устойчивых к гемцитабину клеток РПЖ. Ограничением исследования является то, что комбинированный эффект аллоферона и гемцитабина подтвердился только через клеточный цикл.</w:t>
      </w:r>
    </w:p>
    <w:p w14:paraId="2B7533CC" w14:textId="77777777" w:rsidR="00D567C0" w:rsidRPr="00CE5466" w:rsidRDefault="00F96AE2">
      <w:pPr>
        <w:pStyle w:val="Bodytext10"/>
        <w:spacing w:after="180"/>
        <w:ind w:left="2620" w:firstLine="440"/>
        <w:jc w:val="both"/>
        <w:rPr>
          <w:lang w:val="ru-RU"/>
        </w:rPr>
      </w:pPr>
      <w:r>
        <w:rPr>
          <w:rStyle w:val="Bodytext1"/>
          <w:lang w:val="ru-RU"/>
        </w:rPr>
        <w:t xml:space="preserve">Несмотря на то, что SLC6A14 является мощным транспортером глутамина, другие транспортеры аминокислот, такие как SLC1A5, SLC38A1, SLC38A3, SLC48A5 и SLC7A5, также играют важную роль </w:t>
      </w:r>
      <w:hyperlink w:anchor="bookmark48" w:tooltip="Current Document" w:history="1">
        <w:r>
          <w:rPr>
            <w:rStyle w:val="Bodytext1"/>
            <w:lang w:val="ru-RU"/>
          </w:rPr>
          <w:t>[</w:t>
        </w:r>
        <w:r>
          <w:rPr>
            <w:rStyle w:val="Bodytext1"/>
            <w:color w:val="0875B7"/>
            <w:lang w:val="ru-RU"/>
          </w:rPr>
          <w:t>28,29</w:t>
        </w:r>
      </w:hyperlink>
      <w:hyperlink w:anchor="bookmark49" w:tooltip="Current Document" w:history="1">
        <w:r>
          <w:rPr>
            <w:rStyle w:val="Bodytext1"/>
            <w:lang w:val="ru-RU"/>
          </w:rPr>
          <w:t>]</w:t>
        </w:r>
      </w:hyperlink>
      <w:r>
        <w:rPr>
          <w:rStyle w:val="Bodytext1"/>
          <w:lang w:val="ru-RU"/>
        </w:rPr>
        <w:t xml:space="preserve">. Действительно, подавление SLC6A14 ингибирует функции SLC7A11 и SLC7A5 </w:t>
      </w:r>
      <w:hyperlink w:anchor="bookmark49" w:tooltip="Current Document" w:history="1">
        <w:r>
          <w:rPr>
            <w:rStyle w:val="Bodytext1"/>
            <w:lang w:val="ru-RU"/>
          </w:rPr>
          <w:t>[</w:t>
        </w:r>
        <w:r>
          <w:rPr>
            <w:rStyle w:val="Bodytext1"/>
            <w:color w:val="0875B7"/>
            <w:lang w:val="ru-RU"/>
          </w:rPr>
          <w:t>29</w:t>
        </w:r>
        <w:r>
          <w:rPr>
            <w:rStyle w:val="Bodytext1"/>
            <w:lang w:val="ru-RU"/>
          </w:rPr>
          <w:t>]</w:t>
        </w:r>
      </w:hyperlink>
      <w:r>
        <w:rPr>
          <w:rStyle w:val="Bodytext1"/>
          <w:lang w:val="ru-RU"/>
        </w:rPr>
        <w:t xml:space="preserve">. Таким образом, необходимо изучать влияние аллоферона на экспрессию других транспортеров аминокислот, дабы понять, блокирует ли он поглощение </w:t>
      </w:r>
      <w:r>
        <w:rPr>
          <w:rStyle w:val="Bodytext1"/>
          <w:lang w:val="ru-RU"/>
        </w:rPr>
        <w:lastRenderedPageBreak/>
        <w:t xml:space="preserve">других незаменимых аминокислот, </w:t>
      </w:r>
      <w:r w:rsidR="005517BD">
        <w:rPr>
          <w:rStyle w:val="Bodytext1"/>
          <w:lang w:val="ru-RU"/>
        </w:rPr>
        <w:t>в которых нуждаются раковые клетки</w:t>
      </w:r>
      <w:r>
        <w:rPr>
          <w:rStyle w:val="Bodytext1"/>
          <w:lang w:val="ru-RU"/>
        </w:rPr>
        <w:t>.</w:t>
      </w:r>
    </w:p>
    <w:p w14:paraId="4A50E0BE" w14:textId="77777777" w:rsidR="00D567C0" w:rsidRPr="00986B3A" w:rsidRDefault="00986B3A" w:rsidP="00986B3A">
      <w:pPr>
        <w:pStyle w:val="Heading110"/>
        <w:keepNext/>
        <w:keepLines/>
        <w:tabs>
          <w:tab w:val="left" w:pos="2890"/>
        </w:tabs>
        <w:ind w:left="360"/>
        <w:jc w:val="both"/>
        <w:rPr>
          <w:lang w:val="ru-RU"/>
        </w:rPr>
      </w:pPr>
      <w:r>
        <w:rPr>
          <w:rStyle w:val="Heading11"/>
          <w:b/>
          <w:bCs/>
          <w:lang w:val="ru-RU"/>
        </w:rPr>
        <w:t xml:space="preserve">                                              5.     </w:t>
      </w:r>
      <w:r w:rsidR="00CE5466">
        <w:rPr>
          <w:rStyle w:val="Heading11"/>
          <w:b/>
          <w:bCs/>
          <w:lang w:val="ru-RU"/>
        </w:rPr>
        <w:t>Заключение</w:t>
      </w:r>
    </w:p>
    <w:p w14:paraId="1BCAA561" w14:textId="77777777" w:rsidR="00D567C0" w:rsidRPr="00CE5466" w:rsidRDefault="00F96AE2">
      <w:pPr>
        <w:pStyle w:val="Bodytext10"/>
        <w:spacing w:after="220"/>
        <w:ind w:left="2620" w:firstLine="440"/>
        <w:jc w:val="both"/>
        <w:rPr>
          <w:lang w:val="ru-RU"/>
        </w:rPr>
      </w:pPr>
      <w:r>
        <w:rPr>
          <w:rStyle w:val="Bodytext1"/>
          <w:lang w:val="ru-RU"/>
        </w:rPr>
        <w:t>Подводя итог</w:t>
      </w:r>
      <w:r w:rsidR="005517BD">
        <w:rPr>
          <w:rStyle w:val="Bodytext1"/>
          <w:lang w:val="ru-RU"/>
        </w:rPr>
        <w:t>и</w:t>
      </w:r>
      <w:r w:rsidR="0092170F">
        <w:rPr>
          <w:rStyle w:val="Bodytext1"/>
          <w:lang w:val="ru-RU"/>
        </w:rPr>
        <w:tab/>
      </w:r>
      <w:r>
        <w:rPr>
          <w:rStyle w:val="Bodytext1"/>
          <w:lang w:val="ru-RU"/>
        </w:rPr>
        <w:t>, это исследование продемонстрировало, что (1) аллоферон эффективно снижает экспрессию транспортера глутамина SLC6A14 в клетках рака поджелудочной железы, (2) тем самым уменьшая поглощение глутамина клетками, а также (3) снижение внутриклеточной концентрации глутамина способно повысить чувствительность к гемцитабину и увеличить апоптоз клеток. Это первое исследование, касающееся лечения рака поджелудочной железы с использованием аллоферона в качестве адъюванта к обычным химиотерапевтическим препаратам. Таким образом, настоящее исследование предоставляет доказательства нового потенциального применения аллоферона с гемцитабином для лечения рака поджелудочной железы путем регуляции экспрессии SLC6A14.</w:t>
      </w:r>
    </w:p>
    <w:p w14:paraId="4837313C" w14:textId="77777777" w:rsidR="00D567C0" w:rsidRPr="00CE5466" w:rsidRDefault="00F96AE2">
      <w:pPr>
        <w:pStyle w:val="Bodytext20"/>
        <w:spacing w:after="80" w:line="314" w:lineRule="auto"/>
        <w:ind w:left="2600" w:firstLine="20"/>
        <w:jc w:val="both"/>
        <w:rPr>
          <w:lang w:val="ru-RU"/>
        </w:rPr>
      </w:pPr>
      <w:r>
        <w:rPr>
          <w:rStyle w:val="Bodytext2"/>
          <w:b/>
          <w:bCs/>
          <w:lang w:val="ru-RU"/>
        </w:rPr>
        <w:t>Дополнительные материалы:</w:t>
      </w:r>
      <w:r>
        <w:rPr>
          <w:rStyle w:val="Bodytext2"/>
          <w:lang w:val="ru-RU"/>
        </w:rPr>
        <w:t xml:space="preserve"> следующую вспомогательную информацию можно загрузить по адресу: </w:t>
      </w:r>
      <w:hyperlink r:id="rId47" w:history="1">
        <w:r>
          <w:rPr>
            <w:rStyle w:val="Bodytext2"/>
            <w:lang w:val="ru-RU"/>
          </w:rPr>
          <w:t xml:space="preserve"> </w:t>
        </w:r>
        <w:r>
          <w:rPr>
            <w:rStyle w:val="Bodytext2"/>
            <w:color w:val="0875B7"/>
            <w:lang w:val="ru-RU"/>
          </w:rPr>
          <w:t>https:</w:t>
        </w:r>
      </w:hyperlink>
      <w:r>
        <w:rPr>
          <w:rStyle w:val="Bodytext2"/>
          <w:lang w:val="ru-RU"/>
        </w:rPr>
        <w:t xml:space="preserve"> </w:t>
      </w:r>
      <w:hyperlink r:id="rId48" w:history="1">
        <w:r>
          <w:rPr>
            <w:rStyle w:val="Bodytext2"/>
            <w:color w:val="0875B7"/>
            <w:lang w:val="ru-RU"/>
          </w:rPr>
          <w:t>//www.mdpi.com/article/10.3390/biomedicines10051113/s1</w:t>
        </w:r>
        <w:r>
          <w:rPr>
            <w:rStyle w:val="Bodytext2"/>
            <w:lang w:val="ru-RU"/>
          </w:rPr>
          <w:t>,</w:t>
        </w:r>
      </w:hyperlink>
      <w:r>
        <w:rPr>
          <w:rStyle w:val="Bodytext2"/>
          <w:lang w:val="ru-RU"/>
        </w:rPr>
        <w:t>рисунок S1: разница экспрессии SLC6A14 между Panc-1 и AsPC-1, рисунок S2: определение оптимальной концентрации гемцитабина, используемого для анализа клеточного цикла клеток Panc-1, Рисунок S3: Определение оптимальной концентрации гемцитабина, используемого для анализа клеточного цикла клеток AsPC-1, Рисунок S4: TUNEL-положительные клетки Panc-1 после воздействия к аллоферону и гемцитабину, Рисунок S5: TUNEL-положительные клетки AsPC-1 после воздействия аллоферона и гемцитабина.</w:t>
      </w:r>
    </w:p>
    <w:p w14:paraId="0868B114" w14:textId="77777777" w:rsidR="00D567C0" w:rsidRPr="00CE5466" w:rsidRDefault="00F96AE2">
      <w:pPr>
        <w:pStyle w:val="Bodytext20"/>
        <w:spacing w:after="80" w:line="307" w:lineRule="auto"/>
        <w:ind w:left="2600" w:firstLine="20"/>
        <w:jc w:val="both"/>
        <w:rPr>
          <w:lang w:val="ru-RU"/>
        </w:rPr>
      </w:pPr>
      <w:r>
        <w:rPr>
          <w:rStyle w:val="Bodytext2"/>
          <w:b/>
          <w:bCs/>
          <w:lang w:val="ru-RU"/>
        </w:rPr>
        <w:t>Вклад авторов:</w:t>
      </w:r>
      <w:r>
        <w:rPr>
          <w:rStyle w:val="Bodytext2"/>
          <w:lang w:val="ru-RU"/>
        </w:rPr>
        <w:t xml:space="preserve"> Концептуализация, J.S.K.; методология, Y.K. и J.S.K.; формальный анализ, H.J.и Y.K.; исследование, H.J., D.L., C.G., Y.J., S.B., T.A. и JH; ресурсы, Y.K. и J.S.K.; курирование данных, Y.K. и J.S.K.; написание — подготовка первоначального проекта, H.J., Y.K.и J.S.K.; написание - обзор и редактирование, H.J., DK, Y.K. и J.S.K.; визуализация, H.J.; администрирование проекта J.S.K.; приобретение финансирования, Y.K. и J.S.K. Все авторы прочли и согласились с опубликованной версией рукописи.</w:t>
      </w:r>
    </w:p>
    <w:p w14:paraId="335DFD6B" w14:textId="77777777" w:rsidR="00D567C0" w:rsidRPr="00CE5466" w:rsidRDefault="00F96AE2">
      <w:pPr>
        <w:pStyle w:val="Bodytext20"/>
        <w:spacing w:after="80" w:line="307" w:lineRule="auto"/>
        <w:ind w:left="2600" w:firstLine="20"/>
        <w:jc w:val="both"/>
        <w:rPr>
          <w:lang w:val="ru-RU"/>
        </w:rPr>
      </w:pPr>
      <w:r>
        <w:rPr>
          <w:rStyle w:val="Bodytext2"/>
          <w:b/>
          <w:bCs/>
          <w:lang w:val="ru-RU"/>
        </w:rPr>
        <w:t>Финансирование:</w:t>
      </w:r>
      <w:r>
        <w:rPr>
          <w:rStyle w:val="Bodytext2"/>
          <w:lang w:val="ru-RU"/>
        </w:rPr>
        <w:t xml:space="preserve"> Это исследование финансировалось Национальным фондом Кореи (№: 2017R1A2B2010948, 2017R1A6A3A11032576, 2020R1C1C1009334).</w:t>
      </w:r>
    </w:p>
    <w:p w14:paraId="37CFD1B5" w14:textId="77777777" w:rsidR="00D567C0" w:rsidRPr="00CE5466" w:rsidRDefault="00F96AE2">
      <w:pPr>
        <w:pStyle w:val="Bodytext20"/>
        <w:spacing w:after="80"/>
        <w:ind w:left="2600" w:firstLine="20"/>
        <w:jc w:val="both"/>
        <w:rPr>
          <w:lang w:val="ru-RU"/>
        </w:rPr>
      </w:pPr>
      <w:r>
        <w:rPr>
          <w:rStyle w:val="Bodytext2"/>
          <w:b/>
          <w:bCs/>
          <w:lang w:val="ru-RU"/>
        </w:rPr>
        <w:t xml:space="preserve">Заявление Институционального наблюдательного совета: </w:t>
      </w:r>
      <w:r>
        <w:rPr>
          <w:rStyle w:val="Bodytext2"/>
          <w:lang w:val="ru-RU"/>
        </w:rPr>
        <w:t>неприменимо.</w:t>
      </w:r>
    </w:p>
    <w:p w14:paraId="3AACCC72" w14:textId="77777777" w:rsidR="00D567C0" w:rsidRPr="00CE5466" w:rsidRDefault="00F96AE2">
      <w:pPr>
        <w:pStyle w:val="Bodytext20"/>
        <w:spacing w:after="80"/>
        <w:ind w:left="2600" w:firstLine="20"/>
        <w:jc w:val="both"/>
        <w:rPr>
          <w:lang w:val="ru-RU"/>
        </w:rPr>
      </w:pPr>
      <w:r>
        <w:rPr>
          <w:rStyle w:val="Bodytext2"/>
          <w:b/>
          <w:bCs/>
          <w:lang w:val="ru-RU"/>
        </w:rPr>
        <w:t xml:space="preserve">Заявление об информированном согласии: </w:t>
      </w:r>
      <w:r>
        <w:rPr>
          <w:rStyle w:val="Bodytext2"/>
          <w:lang w:val="ru-RU"/>
        </w:rPr>
        <w:t>неприменимо.</w:t>
      </w:r>
    </w:p>
    <w:p w14:paraId="122BF407" w14:textId="77777777" w:rsidR="00D567C0" w:rsidRPr="00CE5466" w:rsidRDefault="00F96AE2">
      <w:pPr>
        <w:pStyle w:val="Bodytext20"/>
        <w:spacing w:after="80" w:line="307" w:lineRule="auto"/>
        <w:ind w:left="2600" w:firstLine="20"/>
        <w:jc w:val="both"/>
        <w:rPr>
          <w:lang w:val="ru-RU"/>
        </w:rPr>
      </w:pPr>
      <w:r>
        <w:rPr>
          <w:rStyle w:val="Bodytext2"/>
          <w:b/>
          <w:bCs/>
          <w:lang w:val="ru-RU"/>
        </w:rPr>
        <w:t xml:space="preserve">Заявление о доступности данных: </w:t>
      </w:r>
      <w:r>
        <w:rPr>
          <w:rStyle w:val="Bodytext2"/>
          <w:lang w:val="ru-RU"/>
        </w:rPr>
        <w:t>Все наборы данных, сгенерированные для этого исследования, включены в статью или Дополнительный файл.</w:t>
      </w:r>
    </w:p>
    <w:p w14:paraId="3B3D7660" w14:textId="77777777" w:rsidR="00D567C0" w:rsidRPr="00CE5466" w:rsidRDefault="00F96AE2">
      <w:pPr>
        <w:pStyle w:val="Bodytext20"/>
        <w:spacing w:after="220" w:line="307" w:lineRule="auto"/>
        <w:ind w:left="2600" w:firstLine="20"/>
        <w:jc w:val="both"/>
        <w:rPr>
          <w:lang w:val="ru-RU"/>
        </w:rPr>
      </w:pPr>
      <w:r>
        <w:rPr>
          <w:rStyle w:val="Bodytext2"/>
          <w:b/>
          <w:bCs/>
          <w:lang w:val="ru-RU"/>
        </w:rPr>
        <w:t>Конфликты интересов:</w:t>
      </w:r>
      <w:r>
        <w:rPr>
          <w:rStyle w:val="Bodytext2"/>
          <w:lang w:val="ru-RU"/>
        </w:rPr>
        <w:t xml:space="preserve"> авторы заявляют, что исследование проводилось в отсутствие каких-либо коммерческих или финансовых отношений, которые могли бы быть интерпретированы как потенциальный конфликт интересов.</w:t>
      </w:r>
    </w:p>
    <w:p w14:paraId="3FF325CE" w14:textId="77777777" w:rsidR="00D567C0" w:rsidRDefault="00CE5466">
      <w:pPr>
        <w:pStyle w:val="Bodytext10"/>
        <w:spacing w:after="0"/>
        <w:ind w:firstLine="0"/>
        <w:jc w:val="both"/>
      </w:pPr>
      <w:r>
        <w:rPr>
          <w:rStyle w:val="Bodytext1"/>
          <w:b/>
          <w:bCs/>
          <w:lang w:val="ru-RU"/>
        </w:rPr>
        <w:t>Список литературы</w:t>
      </w:r>
    </w:p>
    <w:p w14:paraId="6DFE1D02" w14:textId="77777777" w:rsidR="00D567C0" w:rsidRDefault="00F96AE2">
      <w:pPr>
        <w:pStyle w:val="Bodytext20"/>
        <w:numPr>
          <w:ilvl w:val="0"/>
          <w:numId w:val="3"/>
        </w:numPr>
        <w:tabs>
          <w:tab w:val="left" w:pos="422"/>
        </w:tabs>
        <w:jc w:val="both"/>
      </w:pPr>
      <w:r w:rsidRPr="00CE5466">
        <w:rPr>
          <w:rStyle w:val="Bodytext2"/>
        </w:rPr>
        <w:t>American Cancer Society. Available online:</w:t>
      </w:r>
      <w:hyperlink r:id="rId49" w:history="1">
        <w:r w:rsidRPr="00CE5466">
          <w:rPr>
            <w:rStyle w:val="Bodytext2"/>
          </w:rPr>
          <w:t xml:space="preserve"> </w:t>
        </w:r>
        <w:r w:rsidRPr="00CE5466">
          <w:rPr>
            <w:rStyle w:val="Bodytext2"/>
            <w:color w:val="0875B7"/>
          </w:rPr>
          <w:t>www.cancer.org/cancer/pancreatic-cancer/detection-diagnosis-staging/survival-</w:t>
        </w:r>
      </w:hyperlink>
      <w:r w:rsidRPr="00CE5466">
        <w:rPr>
          <w:rStyle w:val="Bodytext2"/>
        </w:rPr>
        <w:t xml:space="preserve"> </w:t>
      </w:r>
      <w:hyperlink r:id="rId50" w:history="1">
        <w:r w:rsidRPr="00CE5466">
          <w:rPr>
            <w:rStyle w:val="Bodytext2"/>
            <w:color w:val="0875B7"/>
          </w:rPr>
          <w:t xml:space="preserve">rates.html </w:t>
        </w:r>
      </w:hyperlink>
      <w:r w:rsidRPr="00CE5466">
        <w:rPr>
          <w:rStyle w:val="Bodytext2"/>
        </w:rPr>
        <w:t>(accessed on 2 March 2022).</w:t>
      </w:r>
    </w:p>
    <w:p w14:paraId="48ABD960" w14:textId="77777777" w:rsidR="00D567C0" w:rsidRDefault="00F96AE2">
      <w:pPr>
        <w:pStyle w:val="Bodytext20"/>
        <w:numPr>
          <w:ilvl w:val="0"/>
          <w:numId w:val="3"/>
        </w:numPr>
        <w:tabs>
          <w:tab w:val="left" w:pos="422"/>
        </w:tabs>
        <w:ind w:left="0" w:firstLine="0"/>
        <w:jc w:val="both"/>
      </w:pPr>
      <w:bookmarkStart w:id="14" w:name="bookmark34"/>
      <w:bookmarkStart w:id="15" w:name="bookmark35"/>
      <w:r w:rsidRPr="00CE5466">
        <w:rPr>
          <w:rStyle w:val="Bodytext2"/>
        </w:rPr>
        <w:t xml:space="preserve">Park, W.; Chawla, A.; O’Reilly, E.M. Pancreatic Cancer: A Review. </w:t>
      </w:r>
      <w:r>
        <w:rPr>
          <w:rStyle w:val="Bodytext2"/>
          <w:i/>
          <w:iCs/>
          <w:lang w:val="ru-RU"/>
        </w:rPr>
        <w:t>JAMA</w:t>
      </w:r>
      <w:r>
        <w:rPr>
          <w:rStyle w:val="Bodytext2"/>
          <w:b/>
          <w:bCs/>
          <w:lang w:val="ru-RU"/>
        </w:rPr>
        <w:t xml:space="preserve"> 2021</w:t>
      </w:r>
      <w:r>
        <w:rPr>
          <w:rStyle w:val="Bodytext2"/>
          <w:lang w:val="ru-RU"/>
        </w:rPr>
        <w:t xml:space="preserve">, </w:t>
      </w:r>
      <w:r>
        <w:rPr>
          <w:rStyle w:val="Bodytext2"/>
          <w:i/>
          <w:iCs/>
          <w:lang w:val="ru-RU"/>
        </w:rPr>
        <w:t>326</w:t>
      </w:r>
      <w:r>
        <w:rPr>
          <w:rStyle w:val="Bodytext2"/>
          <w:lang w:val="ru-RU"/>
        </w:rPr>
        <w:t xml:space="preserve">, 851–862. </w:t>
      </w:r>
      <w:hyperlink r:id="rId51"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52" w:history="1">
        <w:r>
          <w:rPr>
            <w:rStyle w:val="Bodytext2"/>
            <w:lang w:val="ru-RU"/>
          </w:rPr>
          <w:t>[</w:t>
        </w:r>
        <w:r>
          <w:rPr>
            <w:rStyle w:val="Bodytext2"/>
            <w:color w:val="0875B7"/>
            <w:lang w:val="ru-RU"/>
          </w:rPr>
          <w:t>PubMed</w:t>
        </w:r>
        <w:r>
          <w:rPr>
            <w:rStyle w:val="Bodytext2"/>
            <w:lang w:val="ru-RU"/>
          </w:rPr>
          <w:t>]</w:t>
        </w:r>
        <w:bookmarkEnd w:id="14"/>
        <w:bookmarkEnd w:id="15"/>
      </w:hyperlink>
    </w:p>
    <w:p w14:paraId="03BF1743" w14:textId="77777777" w:rsidR="00D567C0" w:rsidRDefault="00F96AE2">
      <w:pPr>
        <w:pStyle w:val="Bodytext20"/>
        <w:numPr>
          <w:ilvl w:val="0"/>
          <w:numId w:val="3"/>
        </w:numPr>
        <w:tabs>
          <w:tab w:val="left" w:pos="422"/>
        </w:tabs>
        <w:jc w:val="both"/>
      </w:pPr>
      <w:r w:rsidRPr="00CE5466">
        <w:rPr>
          <w:rStyle w:val="Bodytext2"/>
        </w:rPr>
        <w:t xml:space="preserve">Lambert, A.; Schwarz, L.; Borbath, I.; Henry, A.; Van Laethem, J.-L.; Malka, D.; Ducreux, M.; Conroy, T. An update on treatment options for pancreatic adenocarcinoma. </w:t>
      </w:r>
      <w:r>
        <w:rPr>
          <w:rStyle w:val="Bodytext2"/>
          <w:i/>
          <w:iCs/>
          <w:lang w:val="ru-RU"/>
        </w:rPr>
        <w:t>Ther. Adv. Med. Oncol.</w:t>
      </w:r>
      <w:r>
        <w:rPr>
          <w:rStyle w:val="Bodytext2"/>
          <w:b/>
          <w:bCs/>
          <w:lang w:val="ru-RU"/>
        </w:rPr>
        <w:t xml:space="preserve"> 2019</w:t>
      </w:r>
      <w:r>
        <w:rPr>
          <w:rStyle w:val="Bodytext2"/>
          <w:lang w:val="ru-RU"/>
        </w:rPr>
        <w:t xml:space="preserve">, </w:t>
      </w:r>
      <w:r>
        <w:rPr>
          <w:rStyle w:val="Bodytext2"/>
          <w:i/>
          <w:iCs/>
          <w:lang w:val="ru-RU"/>
        </w:rPr>
        <w:t>11</w:t>
      </w:r>
      <w:r>
        <w:rPr>
          <w:rStyle w:val="Bodytext2"/>
          <w:lang w:val="ru-RU"/>
        </w:rPr>
        <w:t xml:space="preserve">, 1758835919875568. </w:t>
      </w:r>
      <w:hyperlink r:id="rId53"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54" w:history="1">
        <w:r>
          <w:rPr>
            <w:rStyle w:val="Bodytext2"/>
            <w:lang w:val="ru-RU"/>
          </w:rPr>
          <w:t>[</w:t>
        </w:r>
        <w:r>
          <w:rPr>
            <w:rStyle w:val="Bodytext2"/>
            <w:color w:val="0875B7"/>
            <w:lang w:val="ru-RU"/>
          </w:rPr>
          <w:t>PubMed</w:t>
        </w:r>
        <w:r>
          <w:rPr>
            <w:rStyle w:val="Bodytext2"/>
            <w:lang w:val="ru-RU"/>
          </w:rPr>
          <w:t>]</w:t>
        </w:r>
      </w:hyperlink>
    </w:p>
    <w:p w14:paraId="54EC2195" w14:textId="77777777" w:rsidR="00D567C0" w:rsidRDefault="00F96AE2">
      <w:pPr>
        <w:pStyle w:val="Bodytext20"/>
        <w:numPr>
          <w:ilvl w:val="0"/>
          <w:numId w:val="3"/>
        </w:numPr>
        <w:tabs>
          <w:tab w:val="left" w:pos="422"/>
        </w:tabs>
        <w:ind w:left="0" w:firstLine="0"/>
        <w:jc w:val="both"/>
      </w:pPr>
      <w:bookmarkStart w:id="16" w:name="bookmark36"/>
      <w:r w:rsidRPr="00CE5466">
        <w:rPr>
          <w:rStyle w:val="Bodytext2"/>
        </w:rPr>
        <w:t xml:space="preserve">Amanam, I.; Chung, V. Targeted therapies for pancreatic cancer. </w:t>
      </w:r>
      <w:r>
        <w:rPr>
          <w:rStyle w:val="Bodytext2"/>
          <w:i/>
          <w:iCs/>
          <w:lang w:val="ru-RU"/>
        </w:rPr>
        <w:t>Cancers</w:t>
      </w:r>
      <w:r>
        <w:rPr>
          <w:rStyle w:val="Bodytext2"/>
          <w:b/>
          <w:bCs/>
          <w:lang w:val="ru-RU"/>
        </w:rPr>
        <w:t xml:space="preserve"> 2018</w:t>
      </w:r>
      <w:r>
        <w:rPr>
          <w:rStyle w:val="Bodytext2"/>
          <w:lang w:val="ru-RU"/>
        </w:rPr>
        <w:t xml:space="preserve">, </w:t>
      </w:r>
      <w:r>
        <w:rPr>
          <w:rStyle w:val="Bodytext2"/>
          <w:i/>
          <w:iCs/>
          <w:lang w:val="ru-RU"/>
        </w:rPr>
        <w:t>10</w:t>
      </w:r>
      <w:r>
        <w:rPr>
          <w:rStyle w:val="Bodytext2"/>
          <w:lang w:val="ru-RU"/>
        </w:rPr>
        <w:t xml:space="preserve">, 36. </w:t>
      </w:r>
      <w:hyperlink r:id="rId55"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56" w:history="1">
        <w:r>
          <w:rPr>
            <w:rStyle w:val="Bodytext2"/>
            <w:lang w:val="ru-RU"/>
          </w:rPr>
          <w:t>[</w:t>
        </w:r>
        <w:r>
          <w:rPr>
            <w:rStyle w:val="Bodytext2"/>
            <w:color w:val="0875B7"/>
            <w:lang w:val="ru-RU"/>
          </w:rPr>
          <w:t>PubMed</w:t>
        </w:r>
        <w:r>
          <w:rPr>
            <w:rStyle w:val="Bodytext2"/>
            <w:lang w:val="ru-RU"/>
          </w:rPr>
          <w:t>]</w:t>
        </w:r>
        <w:bookmarkEnd w:id="16"/>
      </w:hyperlink>
    </w:p>
    <w:p w14:paraId="01D12C78" w14:textId="77777777" w:rsidR="00D567C0" w:rsidRDefault="00F96AE2">
      <w:pPr>
        <w:pStyle w:val="Bodytext20"/>
        <w:numPr>
          <w:ilvl w:val="0"/>
          <w:numId w:val="3"/>
        </w:numPr>
        <w:tabs>
          <w:tab w:val="left" w:pos="422"/>
        </w:tabs>
        <w:jc w:val="both"/>
      </w:pPr>
      <w:r w:rsidRPr="00CE5466">
        <w:rPr>
          <w:rStyle w:val="Bodytext2"/>
        </w:rPr>
        <w:t xml:space="preserve">Barros, A.G.; Pulido, C.F.; Machado, M.; Brito, M.J.; Couto, N.; Sousa, O.; Melo, S.A.; Mansinho, H. Treatment optimization of locally advanced and metastatic pancreatic cancer. </w:t>
      </w:r>
      <w:r>
        <w:rPr>
          <w:rStyle w:val="Bodytext2"/>
          <w:i/>
          <w:iCs/>
          <w:lang w:val="ru-RU"/>
        </w:rPr>
        <w:t>Int. J. Oncol.</w:t>
      </w:r>
      <w:r>
        <w:rPr>
          <w:rStyle w:val="Bodytext2"/>
          <w:b/>
          <w:bCs/>
          <w:lang w:val="ru-RU"/>
        </w:rPr>
        <w:t xml:space="preserve"> 2021</w:t>
      </w:r>
      <w:r>
        <w:rPr>
          <w:rStyle w:val="Bodytext2"/>
          <w:lang w:val="ru-RU"/>
        </w:rPr>
        <w:t xml:space="preserve">, </w:t>
      </w:r>
      <w:r>
        <w:rPr>
          <w:rStyle w:val="Bodytext2"/>
          <w:i/>
          <w:iCs/>
          <w:lang w:val="ru-RU"/>
        </w:rPr>
        <w:t>59</w:t>
      </w:r>
      <w:r>
        <w:rPr>
          <w:rStyle w:val="Bodytext2"/>
          <w:lang w:val="ru-RU"/>
        </w:rPr>
        <w:t xml:space="preserve">, 110. </w:t>
      </w:r>
      <w:hyperlink r:id="rId57"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58" w:history="1">
        <w:r>
          <w:rPr>
            <w:rStyle w:val="Bodytext2"/>
            <w:lang w:val="ru-RU"/>
          </w:rPr>
          <w:t>[</w:t>
        </w:r>
        <w:r>
          <w:rPr>
            <w:rStyle w:val="Bodytext2"/>
            <w:color w:val="0875B7"/>
            <w:lang w:val="ru-RU"/>
          </w:rPr>
          <w:t>PubMed</w:t>
        </w:r>
        <w:r>
          <w:rPr>
            <w:rStyle w:val="Bodytext2"/>
            <w:lang w:val="ru-RU"/>
          </w:rPr>
          <w:t>]</w:t>
        </w:r>
      </w:hyperlink>
    </w:p>
    <w:p w14:paraId="50A3BB2E" w14:textId="77777777" w:rsidR="00D567C0" w:rsidRDefault="00F96AE2">
      <w:pPr>
        <w:pStyle w:val="Bodytext20"/>
        <w:numPr>
          <w:ilvl w:val="0"/>
          <w:numId w:val="3"/>
        </w:numPr>
        <w:tabs>
          <w:tab w:val="left" w:pos="422"/>
        </w:tabs>
        <w:jc w:val="both"/>
      </w:pPr>
      <w:bookmarkStart w:id="17" w:name="bookmark37"/>
      <w:r w:rsidRPr="00CE5466">
        <w:rPr>
          <w:rStyle w:val="Bodytext2"/>
        </w:rPr>
        <w:t xml:space="preserve">Zhao, Z.; Liu, W. Pancreatic cancer: A review of risk factors, diagnosis, and treatment. </w:t>
      </w:r>
      <w:r>
        <w:rPr>
          <w:rStyle w:val="Bodytext2"/>
          <w:i/>
          <w:iCs/>
          <w:lang w:val="ru-RU"/>
        </w:rPr>
        <w:t>Technol. Cancer Res. Treat.</w:t>
      </w:r>
      <w:r>
        <w:rPr>
          <w:rStyle w:val="Bodytext2"/>
          <w:b/>
          <w:bCs/>
          <w:lang w:val="ru-RU"/>
        </w:rPr>
        <w:t xml:space="preserve"> 2020</w:t>
      </w:r>
      <w:r>
        <w:rPr>
          <w:rStyle w:val="Bodytext2"/>
          <w:lang w:val="ru-RU"/>
        </w:rPr>
        <w:t xml:space="preserve">, </w:t>
      </w:r>
      <w:r>
        <w:rPr>
          <w:rStyle w:val="Bodytext2"/>
          <w:i/>
          <w:iCs/>
          <w:lang w:val="ru-RU"/>
        </w:rPr>
        <w:t>19</w:t>
      </w:r>
      <w:r>
        <w:rPr>
          <w:rStyle w:val="Bodytext2"/>
          <w:lang w:val="ru-RU"/>
        </w:rPr>
        <w:t xml:space="preserve">, 1533033820962117. </w:t>
      </w:r>
      <w:hyperlink r:id="rId59" w:history="1">
        <w:r>
          <w:rPr>
            <w:rStyle w:val="Bodytext2"/>
            <w:lang w:val="ru-RU"/>
          </w:rPr>
          <w:t>[</w:t>
        </w:r>
        <w:r>
          <w:rPr>
            <w:rStyle w:val="Bodytext2"/>
            <w:color w:val="0875B7"/>
            <w:lang w:val="ru-RU"/>
          </w:rPr>
          <w:t>CrossRef</w:t>
        </w:r>
        <w:r>
          <w:rPr>
            <w:rStyle w:val="Bodytext2"/>
            <w:lang w:val="ru-RU"/>
          </w:rPr>
          <w:t>]</w:t>
        </w:r>
        <w:bookmarkEnd w:id="17"/>
      </w:hyperlink>
    </w:p>
    <w:p w14:paraId="3450A769" w14:textId="77777777" w:rsidR="00D567C0" w:rsidRDefault="00F96AE2">
      <w:pPr>
        <w:pStyle w:val="Bodytext20"/>
        <w:numPr>
          <w:ilvl w:val="0"/>
          <w:numId w:val="3"/>
        </w:numPr>
        <w:tabs>
          <w:tab w:val="left" w:pos="422"/>
        </w:tabs>
        <w:jc w:val="both"/>
      </w:pPr>
      <w:bookmarkStart w:id="18" w:name="bookmark38"/>
      <w:r w:rsidRPr="00CE5466">
        <w:rPr>
          <w:rStyle w:val="Bodytext2"/>
        </w:rPr>
        <w:t xml:space="preserve">Wang, H.; Liu, J.; Xia, G.; Lei, S.; Huang, X.; Huang, X. Survival of pancreatic cancer patients is negatively correlated with age at diagnosis: A population-based retrospective study. </w:t>
      </w:r>
      <w:r>
        <w:rPr>
          <w:rStyle w:val="Bodytext2"/>
          <w:i/>
          <w:iCs/>
          <w:lang w:val="ru-RU"/>
        </w:rPr>
        <w:t>Sci. Rep.</w:t>
      </w:r>
      <w:r>
        <w:rPr>
          <w:rStyle w:val="Bodytext2"/>
          <w:b/>
          <w:bCs/>
          <w:lang w:val="ru-RU"/>
        </w:rPr>
        <w:t xml:space="preserve"> 2020</w:t>
      </w:r>
      <w:r>
        <w:rPr>
          <w:rStyle w:val="Bodytext2"/>
          <w:lang w:val="ru-RU"/>
        </w:rPr>
        <w:t xml:space="preserve">, </w:t>
      </w:r>
      <w:r>
        <w:rPr>
          <w:rStyle w:val="Bodytext2"/>
          <w:i/>
          <w:iCs/>
          <w:lang w:val="ru-RU"/>
        </w:rPr>
        <w:t>10</w:t>
      </w:r>
      <w:r>
        <w:rPr>
          <w:rStyle w:val="Bodytext2"/>
          <w:lang w:val="ru-RU"/>
        </w:rPr>
        <w:t xml:space="preserve">, 7048. </w:t>
      </w:r>
      <w:hyperlink r:id="rId60" w:history="1">
        <w:r>
          <w:rPr>
            <w:rStyle w:val="Bodytext2"/>
            <w:lang w:val="ru-RU"/>
          </w:rPr>
          <w:t>[</w:t>
        </w:r>
        <w:r>
          <w:rPr>
            <w:rStyle w:val="Bodytext2"/>
            <w:color w:val="0875B7"/>
            <w:lang w:val="ru-RU"/>
          </w:rPr>
          <w:t>CrossRef</w:t>
        </w:r>
        <w:r>
          <w:rPr>
            <w:rStyle w:val="Bodytext2"/>
            <w:lang w:val="ru-RU"/>
          </w:rPr>
          <w:t>]</w:t>
        </w:r>
        <w:bookmarkEnd w:id="18"/>
      </w:hyperlink>
    </w:p>
    <w:p w14:paraId="15332D81" w14:textId="77777777" w:rsidR="00D567C0" w:rsidRDefault="00F96AE2">
      <w:pPr>
        <w:pStyle w:val="Bodytext20"/>
        <w:numPr>
          <w:ilvl w:val="0"/>
          <w:numId w:val="3"/>
        </w:numPr>
        <w:tabs>
          <w:tab w:val="left" w:pos="422"/>
        </w:tabs>
        <w:jc w:val="both"/>
      </w:pPr>
      <w:bookmarkStart w:id="19" w:name="bookmark39"/>
      <w:r w:rsidRPr="00CE5466">
        <w:rPr>
          <w:rStyle w:val="Bodytext2"/>
        </w:rPr>
        <w:t xml:space="preserve">Rawla, P.; Sunkara, T.; Gaduputi, V. Epidemiology of Pancreatic Cancer: Global Trends, Etiology and Risk Factors. </w:t>
      </w:r>
      <w:r>
        <w:rPr>
          <w:rStyle w:val="Bodytext2"/>
          <w:i/>
          <w:iCs/>
          <w:lang w:val="ru-RU"/>
        </w:rPr>
        <w:t xml:space="preserve">World J. Oncol. </w:t>
      </w:r>
      <w:r>
        <w:rPr>
          <w:rStyle w:val="Bodytext2"/>
          <w:b/>
          <w:bCs/>
          <w:lang w:val="ru-RU"/>
        </w:rPr>
        <w:t>2019</w:t>
      </w:r>
      <w:r>
        <w:rPr>
          <w:rStyle w:val="Bodytext2"/>
          <w:lang w:val="ru-RU"/>
        </w:rPr>
        <w:t xml:space="preserve">, </w:t>
      </w:r>
      <w:r>
        <w:rPr>
          <w:rStyle w:val="Bodytext2"/>
          <w:i/>
          <w:iCs/>
          <w:lang w:val="ru-RU"/>
        </w:rPr>
        <w:t>10</w:t>
      </w:r>
      <w:r>
        <w:rPr>
          <w:rStyle w:val="Bodytext2"/>
          <w:lang w:val="ru-RU"/>
        </w:rPr>
        <w:t xml:space="preserve">, 10–27. </w:t>
      </w:r>
      <w:hyperlink r:id="rId61" w:history="1">
        <w:r>
          <w:rPr>
            <w:rStyle w:val="Bodytext2"/>
            <w:lang w:val="ru-RU"/>
          </w:rPr>
          <w:t>[</w:t>
        </w:r>
        <w:r>
          <w:rPr>
            <w:rStyle w:val="Bodytext2"/>
            <w:color w:val="0875B7"/>
            <w:lang w:val="ru-RU"/>
          </w:rPr>
          <w:t>CrossRef</w:t>
        </w:r>
        <w:r>
          <w:rPr>
            <w:rStyle w:val="Bodytext2"/>
            <w:lang w:val="ru-RU"/>
          </w:rPr>
          <w:t>]</w:t>
        </w:r>
        <w:bookmarkEnd w:id="19"/>
      </w:hyperlink>
    </w:p>
    <w:p w14:paraId="676576D7" w14:textId="77777777" w:rsidR="00D567C0" w:rsidRDefault="00F96AE2">
      <w:pPr>
        <w:pStyle w:val="Bodytext20"/>
        <w:numPr>
          <w:ilvl w:val="0"/>
          <w:numId w:val="3"/>
        </w:numPr>
        <w:tabs>
          <w:tab w:val="left" w:pos="422"/>
        </w:tabs>
        <w:jc w:val="both"/>
      </w:pPr>
      <w:bookmarkStart w:id="20" w:name="bookmark40"/>
      <w:r w:rsidRPr="00CE5466">
        <w:rPr>
          <w:rStyle w:val="Bodytext2"/>
        </w:rPr>
        <w:t xml:space="preserve">Phan, L.M.; Yeung, S.-C.J.; Lee, M.-H. Cancer metabolic reprogramming: Importance, main features, and potentials for precise targeted anti-cancer therapies. </w:t>
      </w:r>
      <w:r>
        <w:rPr>
          <w:rStyle w:val="Bodytext2"/>
          <w:i/>
          <w:iCs/>
          <w:lang w:val="ru-RU"/>
        </w:rPr>
        <w:t>Cancer Biol. Med.</w:t>
      </w:r>
      <w:r>
        <w:rPr>
          <w:rStyle w:val="Bodytext2"/>
          <w:b/>
          <w:bCs/>
          <w:lang w:val="ru-RU"/>
        </w:rPr>
        <w:t xml:space="preserve"> 2014</w:t>
      </w:r>
      <w:r>
        <w:rPr>
          <w:rStyle w:val="Bodytext2"/>
          <w:lang w:val="ru-RU"/>
        </w:rPr>
        <w:t xml:space="preserve">, </w:t>
      </w:r>
      <w:r>
        <w:rPr>
          <w:rStyle w:val="Bodytext2"/>
          <w:i/>
          <w:iCs/>
          <w:lang w:val="ru-RU"/>
        </w:rPr>
        <w:t>11</w:t>
      </w:r>
      <w:r>
        <w:rPr>
          <w:rStyle w:val="Bodytext2"/>
          <w:lang w:val="ru-RU"/>
        </w:rPr>
        <w:t>, 1.</w:t>
      </w:r>
      <w:bookmarkEnd w:id="20"/>
    </w:p>
    <w:p w14:paraId="3A8D1329" w14:textId="77777777" w:rsidR="00D567C0" w:rsidRDefault="00F96AE2">
      <w:pPr>
        <w:pStyle w:val="Bodytext20"/>
        <w:numPr>
          <w:ilvl w:val="0"/>
          <w:numId w:val="3"/>
        </w:numPr>
        <w:tabs>
          <w:tab w:val="left" w:pos="422"/>
        </w:tabs>
        <w:jc w:val="both"/>
      </w:pPr>
      <w:r w:rsidRPr="00CE5466">
        <w:rPr>
          <w:rStyle w:val="Bodytext2"/>
        </w:rPr>
        <w:t xml:space="preserve">Newsholme, P.; Lima, M.; Procopio, J.; Pithon-Curi, T.; Bazotte, R.; Curi, R. Glutamine and glutamate as vital metabolites. </w:t>
      </w:r>
      <w:r>
        <w:rPr>
          <w:rStyle w:val="Bodytext2"/>
          <w:i/>
          <w:iCs/>
          <w:lang w:val="ru-RU"/>
        </w:rPr>
        <w:t>Braz. J. Med. Biol. Res.</w:t>
      </w:r>
      <w:r>
        <w:rPr>
          <w:rStyle w:val="Bodytext2"/>
          <w:b/>
          <w:bCs/>
          <w:lang w:val="ru-RU"/>
        </w:rPr>
        <w:t xml:space="preserve"> 2003</w:t>
      </w:r>
      <w:r>
        <w:rPr>
          <w:rStyle w:val="Bodytext2"/>
          <w:lang w:val="ru-RU"/>
        </w:rPr>
        <w:t xml:space="preserve">, </w:t>
      </w:r>
      <w:r>
        <w:rPr>
          <w:rStyle w:val="Bodytext2"/>
          <w:i/>
          <w:iCs/>
          <w:lang w:val="ru-RU"/>
        </w:rPr>
        <w:t>36</w:t>
      </w:r>
      <w:r>
        <w:rPr>
          <w:rStyle w:val="Bodytext2"/>
          <w:lang w:val="ru-RU"/>
        </w:rPr>
        <w:t xml:space="preserve">, 153–163. </w:t>
      </w:r>
      <w:hyperlink r:id="rId62" w:history="1">
        <w:r>
          <w:rPr>
            <w:rStyle w:val="Bodytext2"/>
            <w:lang w:val="ru-RU"/>
          </w:rPr>
          <w:t>[</w:t>
        </w:r>
        <w:r>
          <w:rPr>
            <w:rStyle w:val="Bodytext2"/>
            <w:color w:val="0875B7"/>
            <w:lang w:val="ru-RU"/>
          </w:rPr>
          <w:t>CrossRef</w:t>
        </w:r>
        <w:r>
          <w:rPr>
            <w:rStyle w:val="Bodytext2"/>
            <w:lang w:val="ru-RU"/>
          </w:rPr>
          <w:t>]</w:t>
        </w:r>
      </w:hyperlink>
    </w:p>
    <w:p w14:paraId="5124EBCD" w14:textId="77777777" w:rsidR="00D567C0" w:rsidRDefault="00F96AE2">
      <w:pPr>
        <w:pStyle w:val="Bodytext20"/>
        <w:numPr>
          <w:ilvl w:val="0"/>
          <w:numId w:val="3"/>
        </w:numPr>
        <w:tabs>
          <w:tab w:val="left" w:pos="422"/>
        </w:tabs>
        <w:jc w:val="both"/>
      </w:pPr>
      <w:r w:rsidRPr="00CE5466">
        <w:rPr>
          <w:rStyle w:val="Bodytext2"/>
        </w:rPr>
        <w:lastRenderedPageBreak/>
        <w:t xml:space="preserve">Csibi, A.; Fendt, S.-M.; Li, C.; Poulogiannis, G.; Choo, A.Y.; Chapski, D.J.; Jeong, S.M.; Dempsey, J.M.; Parkhitko, A.; Morrison, T.; et al. The mTORC1 pathway stimulates glutamine metabolism and cell proliferation by repressing SIRT4. </w:t>
      </w:r>
      <w:r>
        <w:rPr>
          <w:rStyle w:val="Bodytext2"/>
          <w:i/>
          <w:iCs/>
          <w:lang w:val="ru-RU"/>
        </w:rPr>
        <w:t>Cell</w:t>
      </w:r>
      <w:r>
        <w:rPr>
          <w:rStyle w:val="Bodytext2"/>
          <w:b/>
          <w:bCs/>
          <w:lang w:val="ru-RU"/>
        </w:rPr>
        <w:t xml:space="preserve"> 2013</w:t>
      </w:r>
      <w:r>
        <w:rPr>
          <w:rStyle w:val="Bodytext2"/>
          <w:lang w:val="ru-RU"/>
        </w:rPr>
        <w:t xml:space="preserve">, </w:t>
      </w:r>
      <w:r>
        <w:rPr>
          <w:rStyle w:val="Bodytext2"/>
          <w:i/>
          <w:iCs/>
          <w:lang w:val="ru-RU"/>
        </w:rPr>
        <w:t>153</w:t>
      </w:r>
      <w:r>
        <w:rPr>
          <w:rStyle w:val="Bodytext2"/>
          <w:lang w:val="ru-RU"/>
        </w:rPr>
        <w:t xml:space="preserve">, 840–854. </w:t>
      </w:r>
      <w:hyperlink r:id="rId63" w:history="1">
        <w:r>
          <w:rPr>
            <w:rStyle w:val="Bodytext2"/>
            <w:lang w:val="ru-RU"/>
          </w:rPr>
          <w:t>[</w:t>
        </w:r>
        <w:r>
          <w:rPr>
            <w:rStyle w:val="Bodytext2"/>
            <w:color w:val="0875B7"/>
            <w:lang w:val="ru-RU"/>
          </w:rPr>
          <w:t>CrossRef</w:t>
        </w:r>
        <w:r>
          <w:rPr>
            <w:rStyle w:val="Bodytext2"/>
            <w:lang w:val="ru-RU"/>
          </w:rPr>
          <w:t>]</w:t>
        </w:r>
      </w:hyperlink>
    </w:p>
    <w:p w14:paraId="1077047F" w14:textId="77777777" w:rsidR="00D567C0" w:rsidRDefault="00F96AE2">
      <w:pPr>
        <w:pStyle w:val="Bodytext20"/>
        <w:numPr>
          <w:ilvl w:val="0"/>
          <w:numId w:val="3"/>
        </w:numPr>
        <w:tabs>
          <w:tab w:val="left" w:pos="422"/>
        </w:tabs>
        <w:jc w:val="both"/>
      </w:pPr>
      <w:r w:rsidRPr="00CE5466">
        <w:rPr>
          <w:rStyle w:val="Bodytext2"/>
        </w:rPr>
        <w:t xml:space="preserve">Khan, M.W.; Layden, B.T.; Chakrabarti, P. Inhibition of mTOR complexes protects cancer cells from glutamine starvation induced cell death by restoring Akt stability. </w:t>
      </w:r>
      <w:r>
        <w:rPr>
          <w:rStyle w:val="Bodytext2"/>
          <w:i/>
          <w:iCs/>
          <w:lang w:val="ru-RU"/>
        </w:rPr>
        <w:t>Biochim. Biophys. Acta (BBA) Mol. Basis Dis.</w:t>
      </w:r>
      <w:r>
        <w:rPr>
          <w:rStyle w:val="Bodytext2"/>
          <w:b/>
          <w:bCs/>
          <w:lang w:val="ru-RU"/>
        </w:rPr>
        <w:t xml:space="preserve"> 2018</w:t>
      </w:r>
      <w:r>
        <w:rPr>
          <w:rStyle w:val="Bodytext2"/>
          <w:lang w:val="ru-RU"/>
        </w:rPr>
        <w:t xml:space="preserve">, </w:t>
      </w:r>
      <w:r>
        <w:rPr>
          <w:rStyle w:val="Bodytext2"/>
          <w:i/>
          <w:iCs/>
          <w:lang w:val="ru-RU"/>
        </w:rPr>
        <w:t>1864</w:t>
      </w:r>
      <w:r>
        <w:rPr>
          <w:rStyle w:val="Bodytext2"/>
          <w:lang w:val="ru-RU"/>
        </w:rPr>
        <w:t xml:space="preserve">, 2040–2052. </w:t>
      </w:r>
      <w:hyperlink r:id="rId64"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65" w:history="1">
        <w:r>
          <w:rPr>
            <w:rStyle w:val="Bodytext2"/>
            <w:lang w:val="ru-RU"/>
          </w:rPr>
          <w:t>[</w:t>
        </w:r>
        <w:r>
          <w:rPr>
            <w:rStyle w:val="Bodytext2"/>
            <w:color w:val="0875B7"/>
            <w:lang w:val="ru-RU"/>
          </w:rPr>
          <w:t>PubMed</w:t>
        </w:r>
        <w:r>
          <w:rPr>
            <w:rStyle w:val="Bodytext2"/>
            <w:lang w:val="ru-RU"/>
          </w:rPr>
          <w:t>]</w:t>
        </w:r>
      </w:hyperlink>
    </w:p>
    <w:p w14:paraId="40F43AA1" w14:textId="77777777" w:rsidR="00D567C0" w:rsidRDefault="00F96AE2">
      <w:pPr>
        <w:pStyle w:val="Bodytext20"/>
        <w:numPr>
          <w:ilvl w:val="0"/>
          <w:numId w:val="3"/>
        </w:numPr>
        <w:tabs>
          <w:tab w:val="left" w:pos="422"/>
        </w:tabs>
        <w:jc w:val="both"/>
      </w:pPr>
      <w:r w:rsidRPr="00CE5466">
        <w:rPr>
          <w:rStyle w:val="Bodytext2"/>
        </w:rPr>
        <w:t xml:space="preserve">Nicklin, P.; Bergman, P.; Zhang, B.; Triantafellow, E.; Wang, H.; Nyfeler, B.; Yang, H.; Hild, M.; Kung, C.; Wilson, C.; et al. Bidirectional transport of amino acids regulates mTOR and autophagy. </w:t>
      </w:r>
      <w:r w:rsidRPr="00CE5466">
        <w:rPr>
          <w:rStyle w:val="Bodytext2"/>
          <w:i/>
          <w:iCs/>
        </w:rPr>
        <w:t>Cell</w:t>
      </w:r>
      <w:r w:rsidRPr="00CE5466">
        <w:rPr>
          <w:rStyle w:val="Bodytext2"/>
          <w:b/>
          <w:bCs/>
        </w:rPr>
        <w:t xml:space="preserve"> 2009</w:t>
      </w:r>
      <w:r w:rsidRPr="00CE5466">
        <w:rPr>
          <w:rStyle w:val="Bodytext2"/>
        </w:rPr>
        <w:t xml:space="preserve">, </w:t>
      </w:r>
      <w:r w:rsidRPr="00CE5466">
        <w:rPr>
          <w:rStyle w:val="Bodytext2"/>
          <w:i/>
          <w:iCs/>
        </w:rPr>
        <w:t>136</w:t>
      </w:r>
      <w:r w:rsidRPr="00CE5466">
        <w:rPr>
          <w:rStyle w:val="Bodytext2"/>
        </w:rPr>
        <w:t xml:space="preserve">, 521–534. </w:t>
      </w:r>
      <w:hyperlink r:id="rId66" w:history="1">
        <w:r w:rsidRPr="00663008">
          <w:rPr>
            <w:rStyle w:val="Bodytext2"/>
          </w:rPr>
          <w:t>[</w:t>
        </w:r>
        <w:r w:rsidRPr="00663008">
          <w:rPr>
            <w:rStyle w:val="Bodytext2"/>
            <w:color w:val="0875B7"/>
          </w:rPr>
          <w:t>CrossRef</w:t>
        </w:r>
        <w:r w:rsidRPr="00663008">
          <w:rPr>
            <w:rStyle w:val="Bodytext2"/>
          </w:rPr>
          <w:t>]</w:t>
        </w:r>
      </w:hyperlink>
      <w:r w:rsidRPr="00663008">
        <w:rPr>
          <w:rStyle w:val="Bodytext2"/>
        </w:rPr>
        <w:t xml:space="preserve"> </w:t>
      </w:r>
      <w:hyperlink r:id="rId67" w:history="1">
        <w:r w:rsidRPr="00663008">
          <w:rPr>
            <w:rStyle w:val="Bodytext2"/>
          </w:rPr>
          <w:t>[</w:t>
        </w:r>
        <w:r w:rsidRPr="00663008">
          <w:rPr>
            <w:rStyle w:val="Bodytext2"/>
            <w:color w:val="0875B7"/>
          </w:rPr>
          <w:t>PubMed</w:t>
        </w:r>
        <w:r w:rsidRPr="00663008">
          <w:rPr>
            <w:rStyle w:val="Bodytext2"/>
          </w:rPr>
          <w:t>]</w:t>
        </w:r>
      </w:hyperlink>
    </w:p>
    <w:p w14:paraId="7479F8B1" w14:textId="77777777" w:rsidR="00D567C0" w:rsidRDefault="00F96AE2">
      <w:pPr>
        <w:pStyle w:val="Bodytext20"/>
        <w:numPr>
          <w:ilvl w:val="0"/>
          <w:numId w:val="3"/>
        </w:numPr>
        <w:tabs>
          <w:tab w:val="left" w:pos="422"/>
        </w:tabs>
        <w:spacing w:after="80"/>
        <w:ind w:left="0" w:firstLine="0"/>
        <w:jc w:val="both"/>
      </w:pPr>
      <w:r w:rsidRPr="00CE5466">
        <w:rPr>
          <w:rStyle w:val="Bodytext2"/>
        </w:rPr>
        <w:t xml:space="preserve">Jewell, J.L.; Guan, K.-L. Nutrient signaling to mTOR and cell growth. </w:t>
      </w:r>
      <w:r>
        <w:rPr>
          <w:rStyle w:val="Bodytext2"/>
          <w:i/>
          <w:iCs/>
          <w:lang w:val="ru-RU"/>
        </w:rPr>
        <w:t>Trends Biochem. Sci.</w:t>
      </w:r>
      <w:r>
        <w:rPr>
          <w:rStyle w:val="Bodytext2"/>
          <w:b/>
          <w:bCs/>
          <w:lang w:val="ru-RU"/>
        </w:rPr>
        <w:t xml:space="preserve"> 2013</w:t>
      </w:r>
      <w:r>
        <w:rPr>
          <w:rStyle w:val="Bodytext2"/>
          <w:lang w:val="ru-RU"/>
        </w:rPr>
        <w:t xml:space="preserve">, </w:t>
      </w:r>
      <w:r>
        <w:rPr>
          <w:rStyle w:val="Bodytext2"/>
          <w:i/>
          <w:iCs/>
          <w:lang w:val="ru-RU"/>
        </w:rPr>
        <w:t>38</w:t>
      </w:r>
      <w:r>
        <w:rPr>
          <w:rStyle w:val="Bodytext2"/>
          <w:lang w:val="ru-RU"/>
        </w:rPr>
        <w:t xml:space="preserve">, 233–242. </w:t>
      </w:r>
      <w:hyperlink r:id="rId68"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69" w:history="1">
        <w:r>
          <w:rPr>
            <w:rStyle w:val="Bodytext2"/>
            <w:lang w:val="ru-RU"/>
          </w:rPr>
          <w:t>[</w:t>
        </w:r>
        <w:r>
          <w:rPr>
            <w:rStyle w:val="Bodytext2"/>
            <w:color w:val="0875B7"/>
            <w:lang w:val="ru-RU"/>
          </w:rPr>
          <w:t>PubMed</w:t>
        </w:r>
        <w:r>
          <w:rPr>
            <w:rStyle w:val="Bodytext2"/>
            <w:lang w:val="ru-RU"/>
          </w:rPr>
          <w:t>]</w:t>
        </w:r>
      </w:hyperlink>
    </w:p>
    <w:p w14:paraId="0646A613" w14:textId="77777777" w:rsidR="00D567C0" w:rsidRDefault="00F96AE2">
      <w:pPr>
        <w:pStyle w:val="Bodytext20"/>
        <w:numPr>
          <w:ilvl w:val="0"/>
          <w:numId w:val="3"/>
        </w:numPr>
        <w:tabs>
          <w:tab w:val="left" w:pos="422"/>
        </w:tabs>
        <w:jc w:val="both"/>
      </w:pPr>
      <w:r w:rsidRPr="00CE5466">
        <w:rPr>
          <w:rStyle w:val="Bodytext2"/>
        </w:rPr>
        <w:t xml:space="preserve">DeBerardinis, R.J.; Cheng, T. Q’s next: The diverse functions of glutamine in metabolism, cell biology and cancer. </w:t>
      </w:r>
      <w:r>
        <w:rPr>
          <w:rStyle w:val="Bodytext2"/>
          <w:i/>
          <w:iCs/>
          <w:lang w:val="ru-RU"/>
        </w:rPr>
        <w:t>Oncogene</w:t>
      </w:r>
      <w:r>
        <w:rPr>
          <w:rStyle w:val="Bodytext2"/>
          <w:b/>
          <w:bCs/>
          <w:lang w:val="ru-RU"/>
        </w:rPr>
        <w:t xml:space="preserve"> 2010</w:t>
      </w:r>
      <w:r>
        <w:rPr>
          <w:rStyle w:val="Bodytext2"/>
          <w:lang w:val="ru-RU"/>
        </w:rPr>
        <w:t xml:space="preserve">, </w:t>
      </w:r>
      <w:r>
        <w:rPr>
          <w:rStyle w:val="Bodytext2"/>
          <w:i/>
          <w:iCs/>
          <w:lang w:val="ru-RU"/>
        </w:rPr>
        <w:t>29</w:t>
      </w:r>
      <w:r>
        <w:rPr>
          <w:rStyle w:val="Bodytext2"/>
          <w:lang w:val="ru-RU"/>
        </w:rPr>
        <w:t xml:space="preserve">, 313–324. </w:t>
      </w:r>
      <w:hyperlink r:id="rId70" w:history="1">
        <w:r>
          <w:rPr>
            <w:rStyle w:val="Bodytext2"/>
            <w:lang w:val="ru-RU"/>
          </w:rPr>
          <w:t>[</w:t>
        </w:r>
        <w:r>
          <w:rPr>
            <w:rStyle w:val="Bodytext2"/>
            <w:color w:val="0875B7"/>
            <w:lang w:val="ru-RU"/>
          </w:rPr>
          <w:t>CrossRef</w:t>
        </w:r>
        <w:r>
          <w:rPr>
            <w:rStyle w:val="Bodytext2"/>
            <w:lang w:val="ru-RU"/>
          </w:rPr>
          <w:t>]</w:t>
        </w:r>
      </w:hyperlink>
    </w:p>
    <w:p w14:paraId="5F5DDF79" w14:textId="77777777" w:rsidR="00D567C0" w:rsidRDefault="00F96AE2">
      <w:pPr>
        <w:pStyle w:val="Bodytext20"/>
        <w:numPr>
          <w:ilvl w:val="0"/>
          <w:numId w:val="3"/>
        </w:numPr>
        <w:tabs>
          <w:tab w:val="left" w:pos="422"/>
        </w:tabs>
        <w:ind w:left="0" w:firstLine="0"/>
        <w:jc w:val="both"/>
      </w:pPr>
      <w:bookmarkStart w:id="21" w:name="bookmark41"/>
      <w:r w:rsidRPr="00CE5466">
        <w:rPr>
          <w:rStyle w:val="Bodytext2"/>
        </w:rPr>
        <w:t xml:space="preserve">Kovacˇevic´, Z.; Morris, H. The role of glutamine in the oxidative metabolism of malignant cells. </w:t>
      </w:r>
      <w:r>
        <w:rPr>
          <w:rStyle w:val="Bodytext2"/>
          <w:i/>
          <w:iCs/>
          <w:lang w:val="ru-RU"/>
        </w:rPr>
        <w:t>Cancer Res.</w:t>
      </w:r>
      <w:r>
        <w:rPr>
          <w:rStyle w:val="Bodytext2"/>
          <w:b/>
          <w:bCs/>
          <w:lang w:val="ru-RU"/>
        </w:rPr>
        <w:t xml:space="preserve"> 1972</w:t>
      </w:r>
      <w:r>
        <w:rPr>
          <w:rStyle w:val="Bodytext2"/>
          <w:lang w:val="ru-RU"/>
        </w:rPr>
        <w:t xml:space="preserve">, </w:t>
      </w:r>
      <w:r>
        <w:rPr>
          <w:rStyle w:val="Bodytext2"/>
          <w:i/>
          <w:iCs/>
          <w:lang w:val="ru-RU"/>
        </w:rPr>
        <w:t>32</w:t>
      </w:r>
      <w:r>
        <w:rPr>
          <w:rStyle w:val="Bodytext2"/>
          <w:lang w:val="ru-RU"/>
        </w:rPr>
        <w:t>, 326–333.</w:t>
      </w:r>
      <w:bookmarkEnd w:id="21"/>
    </w:p>
    <w:p w14:paraId="2F53041E" w14:textId="77777777" w:rsidR="00D567C0" w:rsidRDefault="00F96AE2">
      <w:pPr>
        <w:pStyle w:val="Bodytext20"/>
        <w:numPr>
          <w:ilvl w:val="0"/>
          <w:numId w:val="3"/>
        </w:numPr>
        <w:tabs>
          <w:tab w:val="left" w:pos="422"/>
        </w:tabs>
        <w:ind w:left="0" w:firstLine="0"/>
        <w:jc w:val="both"/>
      </w:pPr>
      <w:bookmarkStart w:id="22" w:name="bookmark42"/>
      <w:r w:rsidRPr="00CE5466">
        <w:rPr>
          <w:rStyle w:val="Bodytext2"/>
        </w:rPr>
        <w:t xml:space="preserve">Nguyen, T.-L.; Durán, R.V. Glutamine metabolism in cancer therapy. </w:t>
      </w:r>
      <w:r>
        <w:rPr>
          <w:rStyle w:val="Bodytext2"/>
          <w:i/>
          <w:iCs/>
          <w:lang w:val="ru-RU"/>
        </w:rPr>
        <w:t>Cancer Drug Resist.</w:t>
      </w:r>
      <w:r>
        <w:rPr>
          <w:rStyle w:val="Bodytext2"/>
          <w:b/>
          <w:bCs/>
          <w:lang w:val="ru-RU"/>
        </w:rPr>
        <w:t xml:space="preserve"> 2018</w:t>
      </w:r>
      <w:r>
        <w:rPr>
          <w:rStyle w:val="Bodytext2"/>
          <w:lang w:val="ru-RU"/>
        </w:rPr>
        <w:t xml:space="preserve">, </w:t>
      </w:r>
      <w:r>
        <w:rPr>
          <w:rStyle w:val="Bodytext2"/>
          <w:i/>
          <w:iCs/>
          <w:lang w:val="ru-RU"/>
        </w:rPr>
        <w:t>1</w:t>
      </w:r>
      <w:r>
        <w:rPr>
          <w:rStyle w:val="Bodytext2"/>
          <w:lang w:val="ru-RU"/>
        </w:rPr>
        <w:t xml:space="preserve">, 126–138. </w:t>
      </w:r>
      <w:hyperlink r:id="rId71" w:history="1">
        <w:r>
          <w:rPr>
            <w:rStyle w:val="Bodytext2"/>
            <w:lang w:val="ru-RU"/>
          </w:rPr>
          <w:t>[</w:t>
        </w:r>
        <w:r>
          <w:rPr>
            <w:rStyle w:val="Bodytext2"/>
            <w:color w:val="0875B7"/>
            <w:lang w:val="ru-RU"/>
          </w:rPr>
          <w:t>CrossRef</w:t>
        </w:r>
        <w:r>
          <w:rPr>
            <w:rStyle w:val="Bodytext2"/>
            <w:lang w:val="ru-RU"/>
          </w:rPr>
          <w:t>]</w:t>
        </w:r>
        <w:bookmarkEnd w:id="22"/>
      </w:hyperlink>
    </w:p>
    <w:p w14:paraId="1ED1C09A" w14:textId="77777777" w:rsidR="00D567C0" w:rsidRDefault="00F96AE2">
      <w:pPr>
        <w:pStyle w:val="Bodytext20"/>
        <w:numPr>
          <w:ilvl w:val="0"/>
          <w:numId w:val="3"/>
        </w:numPr>
        <w:tabs>
          <w:tab w:val="left" w:pos="422"/>
        </w:tabs>
        <w:jc w:val="both"/>
      </w:pPr>
      <w:r w:rsidRPr="00CE5466">
        <w:rPr>
          <w:rStyle w:val="Bodytext2"/>
        </w:rPr>
        <w:t xml:space="preserve">El Ansari, R.; McIntyre, A.; Craze, M.L.; Ellis, I.O.; Rakha, E.A.; Green, A.R. Altered glutamine metabolism in breast cancer; subtype dependencies and alternative adaptations. </w:t>
      </w:r>
      <w:r>
        <w:rPr>
          <w:rStyle w:val="Bodytext2"/>
          <w:i/>
          <w:iCs/>
          <w:lang w:val="ru-RU"/>
        </w:rPr>
        <w:t>Histopathology</w:t>
      </w:r>
      <w:r>
        <w:rPr>
          <w:rStyle w:val="Bodytext2"/>
          <w:b/>
          <w:bCs/>
          <w:lang w:val="ru-RU"/>
        </w:rPr>
        <w:t xml:space="preserve"> 2018</w:t>
      </w:r>
      <w:r>
        <w:rPr>
          <w:rStyle w:val="Bodytext2"/>
          <w:lang w:val="ru-RU"/>
        </w:rPr>
        <w:t xml:space="preserve">, </w:t>
      </w:r>
      <w:r>
        <w:rPr>
          <w:rStyle w:val="Bodytext2"/>
          <w:i/>
          <w:iCs/>
          <w:lang w:val="ru-RU"/>
        </w:rPr>
        <w:t>72</w:t>
      </w:r>
      <w:r>
        <w:rPr>
          <w:rStyle w:val="Bodytext2"/>
          <w:lang w:val="ru-RU"/>
        </w:rPr>
        <w:t xml:space="preserve">, 183–190. </w:t>
      </w:r>
      <w:hyperlink r:id="rId72" w:history="1">
        <w:r>
          <w:rPr>
            <w:rStyle w:val="Bodytext2"/>
            <w:lang w:val="ru-RU"/>
          </w:rPr>
          <w:t>[</w:t>
        </w:r>
        <w:r>
          <w:rPr>
            <w:rStyle w:val="Bodytext2"/>
            <w:color w:val="0875B7"/>
            <w:lang w:val="ru-RU"/>
          </w:rPr>
          <w:t>CrossRef</w:t>
        </w:r>
        <w:r>
          <w:rPr>
            <w:rStyle w:val="Bodytext2"/>
            <w:lang w:val="ru-RU"/>
          </w:rPr>
          <w:t>]</w:t>
        </w:r>
      </w:hyperlink>
    </w:p>
    <w:p w14:paraId="6FD69548" w14:textId="77777777" w:rsidR="00D567C0" w:rsidRDefault="00F96AE2">
      <w:pPr>
        <w:pStyle w:val="Bodytext20"/>
        <w:numPr>
          <w:ilvl w:val="0"/>
          <w:numId w:val="3"/>
        </w:numPr>
        <w:tabs>
          <w:tab w:val="left" w:pos="422"/>
        </w:tabs>
        <w:jc w:val="both"/>
      </w:pPr>
      <w:r w:rsidRPr="00CE5466">
        <w:rPr>
          <w:rStyle w:val="Bodytext2"/>
        </w:rPr>
        <w:t xml:space="preserve">Demas, D.M.; Demo, S.; Fallah, Y.; Clarke, R.; Nephew, K.P.; Althouse, S.; Sandusky, G.; He, W.; Shajahan-Haq, A.N. Glutamine metabolism drives growth in advanced hormone receptor positive breast cancer. </w:t>
      </w:r>
      <w:r>
        <w:rPr>
          <w:rStyle w:val="Bodytext2"/>
          <w:i/>
          <w:iCs/>
          <w:lang w:val="ru-RU"/>
        </w:rPr>
        <w:t>Front. Oncol.</w:t>
      </w:r>
      <w:r>
        <w:rPr>
          <w:rStyle w:val="Bodytext2"/>
          <w:b/>
          <w:bCs/>
          <w:lang w:val="ru-RU"/>
        </w:rPr>
        <w:t xml:space="preserve"> 2019</w:t>
      </w:r>
      <w:r>
        <w:rPr>
          <w:rStyle w:val="Bodytext2"/>
          <w:lang w:val="ru-RU"/>
        </w:rPr>
        <w:t xml:space="preserve">, </w:t>
      </w:r>
      <w:r>
        <w:rPr>
          <w:rStyle w:val="Bodytext2"/>
          <w:i/>
          <w:iCs/>
          <w:lang w:val="ru-RU"/>
        </w:rPr>
        <w:t>9</w:t>
      </w:r>
      <w:r>
        <w:rPr>
          <w:rStyle w:val="Bodytext2"/>
          <w:lang w:val="ru-RU"/>
        </w:rPr>
        <w:t xml:space="preserve">, 686. </w:t>
      </w:r>
      <w:hyperlink r:id="rId73" w:history="1">
        <w:r>
          <w:rPr>
            <w:rStyle w:val="Bodytext2"/>
            <w:lang w:val="ru-RU"/>
          </w:rPr>
          <w:t>[</w:t>
        </w:r>
        <w:r>
          <w:rPr>
            <w:rStyle w:val="Bodytext2"/>
            <w:color w:val="0875B7"/>
            <w:lang w:val="ru-RU"/>
          </w:rPr>
          <w:t>CrossRef</w:t>
        </w:r>
        <w:r>
          <w:rPr>
            <w:rStyle w:val="Bodytext2"/>
            <w:lang w:val="ru-RU"/>
          </w:rPr>
          <w:t>]</w:t>
        </w:r>
      </w:hyperlink>
    </w:p>
    <w:p w14:paraId="1629D3FC" w14:textId="77777777" w:rsidR="00D567C0" w:rsidRDefault="00F96AE2">
      <w:pPr>
        <w:pStyle w:val="Bodytext20"/>
        <w:numPr>
          <w:ilvl w:val="0"/>
          <w:numId w:val="3"/>
        </w:numPr>
        <w:tabs>
          <w:tab w:val="left" w:pos="422"/>
        </w:tabs>
        <w:jc w:val="both"/>
      </w:pPr>
      <w:r w:rsidRPr="00CE5466">
        <w:rPr>
          <w:rStyle w:val="Bodytext2"/>
        </w:rPr>
        <w:t xml:space="preserve">Nilsson, A.; Haanstra, J.R.; Engqvist, M.; Gerding, A.; Bakker, B.M.; Klingmüller, U.; Teusink, B.; Nielsen, J. Quantitative analysis of amino acid metabolism in liver cancer links glutamate excretion to nucleotide synthesis. </w:t>
      </w:r>
      <w:r>
        <w:rPr>
          <w:rStyle w:val="Bodytext2"/>
          <w:i/>
          <w:iCs/>
          <w:lang w:val="ru-RU"/>
        </w:rPr>
        <w:t>Proc. Natl. Acad. Sci. USA</w:t>
      </w:r>
      <w:r>
        <w:rPr>
          <w:rStyle w:val="Bodytext2"/>
          <w:b/>
          <w:bCs/>
          <w:lang w:val="ru-RU"/>
        </w:rPr>
        <w:t xml:space="preserve"> 2020</w:t>
      </w:r>
      <w:r>
        <w:rPr>
          <w:rStyle w:val="Bodytext2"/>
          <w:lang w:val="ru-RU"/>
        </w:rPr>
        <w:t xml:space="preserve">, </w:t>
      </w:r>
      <w:r>
        <w:rPr>
          <w:rStyle w:val="Bodytext2"/>
          <w:i/>
          <w:iCs/>
          <w:lang w:val="ru-RU"/>
        </w:rPr>
        <w:t>117</w:t>
      </w:r>
      <w:r>
        <w:rPr>
          <w:rStyle w:val="Bodytext2"/>
          <w:lang w:val="ru-RU"/>
        </w:rPr>
        <w:t xml:space="preserve">, 10294–10304. </w:t>
      </w:r>
      <w:hyperlink r:id="rId74" w:history="1">
        <w:r>
          <w:rPr>
            <w:rStyle w:val="Bodytext2"/>
            <w:lang w:val="ru-RU"/>
          </w:rPr>
          <w:t>[</w:t>
        </w:r>
        <w:r>
          <w:rPr>
            <w:rStyle w:val="Bodytext2"/>
            <w:color w:val="0875B7"/>
            <w:lang w:val="ru-RU"/>
          </w:rPr>
          <w:t>CrossRef</w:t>
        </w:r>
        <w:r>
          <w:rPr>
            <w:rStyle w:val="Bodytext2"/>
            <w:lang w:val="ru-RU"/>
          </w:rPr>
          <w:t>]</w:t>
        </w:r>
      </w:hyperlink>
    </w:p>
    <w:p w14:paraId="5DB62284" w14:textId="77777777" w:rsidR="00D567C0" w:rsidRDefault="00F96AE2">
      <w:pPr>
        <w:pStyle w:val="Bodytext20"/>
        <w:numPr>
          <w:ilvl w:val="0"/>
          <w:numId w:val="3"/>
        </w:numPr>
        <w:tabs>
          <w:tab w:val="left" w:pos="422"/>
        </w:tabs>
        <w:jc w:val="both"/>
      </w:pPr>
      <w:r w:rsidRPr="00CE5466">
        <w:rPr>
          <w:rStyle w:val="Bodytext2"/>
        </w:rPr>
        <w:t xml:space="preserve">Vanhove, K.; Derveaux, E.; Graulus, G.-J.; Mesotten, L.; Thomeer, M.; Noben, J.-P.; Guedens, W.; Adriaensens, P. Glutamine addiction and therapeutic strategies in lung cancer. </w:t>
      </w:r>
      <w:r>
        <w:rPr>
          <w:rStyle w:val="Bodytext2"/>
          <w:i/>
          <w:iCs/>
          <w:lang w:val="ru-RU"/>
        </w:rPr>
        <w:t>Int. J. Mol. Sci.</w:t>
      </w:r>
      <w:r>
        <w:rPr>
          <w:rStyle w:val="Bodytext2"/>
          <w:b/>
          <w:bCs/>
          <w:lang w:val="ru-RU"/>
        </w:rPr>
        <w:t xml:space="preserve"> 2019</w:t>
      </w:r>
      <w:r>
        <w:rPr>
          <w:rStyle w:val="Bodytext2"/>
          <w:lang w:val="ru-RU"/>
        </w:rPr>
        <w:t xml:space="preserve">, </w:t>
      </w:r>
      <w:r>
        <w:rPr>
          <w:rStyle w:val="Bodytext2"/>
          <w:i/>
          <w:iCs/>
          <w:lang w:val="ru-RU"/>
        </w:rPr>
        <w:t>20</w:t>
      </w:r>
      <w:r>
        <w:rPr>
          <w:rStyle w:val="Bodytext2"/>
          <w:lang w:val="ru-RU"/>
        </w:rPr>
        <w:t xml:space="preserve">, 252. </w:t>
      </w:r>
      <w:hyperlink r:id="rId75" w:history="1">
        <w:r>
          <w:rPr>
            <w:rStyle w:val="Bodytext2"/>
            <w:lang w:val="ru-RU"/>
          </w:rPr>
          <w:t>[</w:t>
        </w:r>
        <w:r>
          <w:rPr>
            <w:rStyle w:val="Bodytext2"/>
            <w:color w:val="0875B7"/>
            <w:lang w:val="ru-RU"/>
          </w:rPr>
          <w:t>CrossRef</w:t>
        </w:r>
        <w:r>
          <w:rPr>
            <w:rStyle w:val="Bodytext2"/>
            <w:lang w:val="ru-RU"/>
          </w:rPr>
          <w:t>]</w:t>
        </w:r>
      </w:hyperlink>
    </w:p>
    <w:p w14:paraId="2F571618" w14:textId="77777777" w:rsidR="00D567C0" w:rsidRDefault="00F96AE2">
      <w:pPr>
        <w:pStyle w:val="Bodytext20"/>
        <w:numPr>
          <w:ilvl w:val="0"/>
          <w:numId w:val="3"/>
        </w:numPr>
        <w:tabs>
          <w:tab w:val="left" w:pos="422"/>
        </w:tabs>
        <w:jc w:val="both"/>
      </w:pPr>
      <w:r w:rsidRPr="00CE5466">
        <w:rPr>
          <w:rStyle w:val="Bodytext2"/>
        </w:rPr>
        <w:t xml:space="preserve">Yuan, L.; Sheng, X.; Willson, A.K.; Roque, D.R.; Stine, J.E.; Guo, H.; Jones, H.M.; Zhou, C.; Bae-Jump, V.L. Glutamine promotes ovarian cancer cell proliferation through the mTOR/S6 pathway. </w:t>
      </w:r>
      <w:r>
        <w:rPr>
          <w:rStyle w:val="Bodytext2"/>
          <w:i/>
          <w:iCs/>
          <w:lang w:val="ru-RU"/>
        </w:rPr>
        <w:t>Endocr.-Relat. Cancer</w:t>
      </w:r>
      <w:r>
        <w:rPr>
          <w:rStyle w:val="Bodytext2"/>
          <w:b/>
          <w:bCs/>
          <w:lang w:val="ru-RU"/>
        </w:rPr>
        <w:t xml:space="preserve"> 2015</w:t>
      </w:r>
      <w:r>
        <w:rPr>
          <w:rStyle w:val="Bodytext2"/>
          <w:lang w:val="ru-RU"/>
        </w:rPr>
        <w:t xml:space="preserve">, </w:t>
      </w:r>
      <w:r>
        <w:rPr>
          <w:rStyle w:val="Bodytext2"/>
          <w:i/>
          <w:iCs/>
          <w:lang w:val="ru-RU"/>
        </w:rPr>
        <w:t>22</w:t>
      </w:r>
      <w:r>
        <w:rPr>
          <w:rStyle w:val="Bodytext2"/>
          <w:lang w:val="ru-RU"/>
        </w:rPr>
        <w:t xml:space="preserve">, 577–591. </w:t>
      </w:r>
      <w:hyperlink r:id="rId76"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77" w:history="1">
        <w:r>
          <w:rPr>
            <w:rStyle w:val="Bodytext2"/>
            <w:lang w:val="ru-RU"/>
          </w:rPr>
          <w:t>[</w:t>
        </w:r>
        <w:r>
          <w:rPr>
            <w:rStyle w:val="Bodytext2"/>
            <w:color w:val="0875B7"/>
            <w:lang w:val="ru-RU"/>
          </w:rPr>
          <w:t>PubMed</w:t>
        </w:r>
        <w:r>
          <w:rPr>
            <w:rStyle w:val="Bodytext2"/>
            <w:lang w:val="ru-RU"/>
          </w:rPr>
          <w:t>]</w:t>
        </w:r>
      </w:hyperlink>
    </w:p>
    <w:p w14:paraId="3AF75F06" w14:textId="77777777" w:rsidR="00D567C0" w:rsidRDefault="00F96AE2">
      <w:pPr>
        <w:pStyle w:val="Bodytext20"/>
        <w:numPr>
          <w:ilvl w:val="0"/>
          <w:numId w:val="3"/>
        </w:numPr>
        <w:tabs>
          <w:tab w:val="left" w:pos="422"/>
        </w:tabs>
        <w:ind w:left="0" w:firstLine="0"/>
        <w:jc w:val="both"/>
      </w:pPr>
      <w:bookmarkStart w:id="23" w:name="bookmark43"/>
      <w:bookmarkStart w:id="24" w:name="bookmark44"/>
      <w:r w:rsidRPr="00CE5466">
        <w:rPr>
          <w:rStyle w:val="Bodytext2"/>
        </w:rPr>
        <w:t xml:space="preserve">Hampton, T. Blocking Glutamine Metabolism Shrinks Kidney Cancers in Mice. </w:t>
      </w:r>
      <w:r>
        <w:rPr>
          <w:rStyle w:val="Bodytext2"/>
          <w:i/>
          <w:iCs/>
          <w:lang w:val="ru-RU"/>
        </w:rPr>
        <w:t>JAMA</w:t>
      </w:r>
      <w:r>
        <w:rPr>
          <w:rStyle w:val="Bodytext2"/>
          <w:b/>
          <w:bCs/>
          <w:lang w:val="ru-RU"/>
        </w:rPr>
        <w:t xml:space="preserve"> 2015</w:t>
      </w:r>
      <w:r>
        <w:rPr>
          <w:rStyle w:val="Bodytext2"/>
          <w:lang w:val="ru-RU"/>
        </w:rPr>
        <w:t xml:space="preserve">, </w:t>
      </w:r>
      <w:r>
        <w:rPr>
          <w:rStyle w:val="Bodytext2"/>
          <w:i/>
          <w:iCs/>
          <w:lang w:val="ru-RU"/>
        </w:rPr>
        <w:t>314</w:t>
      </w:r>
      <w:r>
        <w:rPr>
          <w:rStyle w:val="Bodytext2"/>
          <w:lang w:val="ru-RU"/>
        </w:rPr>
        <w:t xml:space="preserve">, 16. </w:t>
      </w:r>
      <w:hyperlink r:id="rId78" w:history="1">
        <w:r>
          <w:rPr>
            <w:rStyle w:val="Bodytext2"/>
            <w:lang w:val="ru-RU"/>
          </w:rPr>
          <w:t>[</w:t>
        </w:r>
        <w:r>
          <w:rPr>
            <w:rStyle w:val="Bodytext2"/>
            <w:color w:val="0875B7"/>
            <w:lang w:val="ru-RU"/>
          </w:rPr>
          <w:t>CrossRef</w:t>
        </w:r>
        <w:r>
          <w:rPr>
            <w:rStyle w:val="Bodytext2"/>
            <w:lang w:val="ru-RU"/>
          </w:rPr>
          <w:t>]</w:t>
        </w:r>
        <w:bookmarkEnd w:id="23"/>
        <w:bookmarkEnd w:id="24"/>
      </w:hyperlink>
    </w:p>
    <w:p w14:paraId="3F054DE2" w14:textId="77777777" w:rsidR="00D567C0" w:rsidRDefault="00F96AE2">
      <w:pPr>
        <w:pStyle w:val="Bodytext20"/>
        <w:numPr>
          <w:ilvl w:val="0"/>
          <w:numId w:val="3"/>
        </w:numPr>
        <w:tabs>
          <w:tab w:val="left" w:pos="422"/>
        </w:tabs>
        <w:jc w:val="both"/>
      </w:pPr>
      <w:r w:rsidRPr="00CE5466">
        <w:rPr>
          <w:rStyle w:val="Bodytext2"/>
        </w:rPr>
        <w:t xml:space="preserve">Wise, D.R.; Thompson, C.B. Glutamine addiction: A new therapeutic target in cancer. </w:t>
      </w:r>
      <w:r>
        <w:rPr>
          <w:rStyle w:val="Bodytext2"/>
          <w:i/>
          <w:iCs/>
          <w:lang w:val="ru-RU"/>
        </w:rPr>
        <w:t>Trends Biochem. Sci.</w:t>
      </w:r>
      <w:r>
        <w:rPr>
          <w:rStyle w:val="Bodytext2"/>
          <w:b/>
          <w:bCs/>
          <w:lang w:val="ru-RU"/>
        </w:rPr>
        <w:t xml:space="preserve"> 2010</w:t>
      </w:r>
      <w:r>
        <w:rPr>
          <w:rStyle w:val="Bodytext2"/>
          <w:lang w:val="ru-RU"/>
        </w:rPr>
        <w:t xml:space="preserve">, </w:t>
      </w:r>
      <w:r>
        <w:rPr>
          <w:rStyle w:val="Bodytext2"/>
          <w:i/>
          <w:iCs/>
          <w:lang w:val="ru-RU"/>
        </w:rPr>
        <w:t>35</w:t>
      </w:r>
      <w:r>
        <w:rPr>
          <w:rStyle w:val="Bodytext2"/>
          <w:lang w:val="ru-RU"/>
        </w:rPr>
        <w:t xml:space="preserve">, 427–433. </w:t>
      </w:r>
      <w:hyperlink r:id="rId79"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80" w:history="1">
        <w:r>
          <w:rPr>
            <w:rStyle w:val="Bodytext2"/>
            <w:lang w:val="ru-RU"/>
          </w:rPr>
          <w:t>[</w:t>
        </w:r>
        <w:r>
          <w:rPr>
            <w:rStyle w:val="Bodytext2"/>
            <w:color w:val="0875B7"/>
            <w:lang w:val="ru-RU"/>
          </w:rPr>
          <w:t>PubMed</w:t>
        </w:r>
        <w:r>
          <w:rPr>
            <w:rStyle w:val="Bodytext2"/>
            <w:lang w:val="ru-RU"/>
          </w:rPr>
          <w:t>]</w:t>
        </w:r>
      </w:hyperlink>
    </w:p>
    <w:p w14:paraId="4989B5BC" w14:textId="77777777" w:rsidR="00D567C0" w:rsidRDefault="00F96AE2">
      <w:pPr>
        <w:pStyle w:val="Bodytext20"/>
        <w:numPr>
          <w:ilvl w:val="0"/>
          <w:numId w:val="3"/>
        </w:numPr>
        <w:tabs>
          <w:tab w:val="left" w:pos="422"/>
        </w:tabs>
        <w:jc w:val="both"/>
      </w:pPr>
      <w:bookmarkStart w:id="25" w:name="bookmark45"/>
      <w:r w:rsidRPr="00CE5466">
        <w:rPr>
          <w:rStyle w:val="Bodytext2"/>
        </w:rPr>
        <w:t xml:space="preserve">Cluntun, A.A.; Lukey, M.J.; Cerione, R.A.; Locasale, J.W. Glutamine metabolism in cancer: Understanding the heterogeneity. </w:t>
      </w:r>
      <w:r>
        <w:rPr>
          <w:rStyle w:val="Bodytext2"/>
          <w:i/>
          <w:iCs/>
          <w:lang w:val="ru-RU"/>
        </w:rPr>
        <w:t>Trends Cancer</w:t>
      </w:r>
      <w:r>
        <w:rPr>
          <w:rStyle w:val="Bodytext2"/>
          <w:b/>
          <w:bCs/>
          <w:lang w:val="ru-RU"/>
        </w:rPr>
        <w:t xml:space="preserve"> 2017</w:t>
      </w:r>
      <w:r>
        <w:rPr>
          <w:rStyle w:val="Bodytext2"/>
          <w:lang w:val="ru-RU"/>
        </w:rPr>
        <w:t xml:space="preserve">, </w:t>
      </w:r>
      <w:r>
        <w:rPr>
          <w:rStyle w:val="Bodytext2"/>
          <w:i/>
          <w:iCs/>
          <w:lang w:val="ru-RU"/>
        </w:rPr>
        <w:t>3</w:t>
      </w:r>
      <w:r>
        <w:rPr>
          <w:rStyle w:val="Bodytext2"/>
          <w:lang w:val="ru-RU"/>
        </w:rPr>
        <w:t xml:space="preserve">, 169–180. </w:t>
      </w:r>
      <w:hyperlink r:id="rId81"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82" w:history="1">
        <w:r>
          <w:rPr>
            <w:rStyle w:val="Bodytext2"/>
            <w:lang w:val="ru-RU"/>
          </w:rPr>
          <w:t>[</w:t>
        </w:r>
        <w:r>
          <w:rPr>
            <w:rStyle w:val="Bodytext2"/>
            <w:color w:val="0875B7"/>
            <w:lang w:val="ru-RU"/>
          </w:rPr>
          <w:t>PubMed</w:t>
        </w:r>
        <w:r>
          <w:rPr>
            <w:rStyle w:val="Bodytext2"/>
            <w:lang w:val="ru-RU"/>
          </w:rPr>
          <w:t>]</w:t>
        </w:r>
        <w:bookmarkEnd w:id="25"/>
      </w:hyperlink>
    </w:p>
    <w:p w14:paraId="430DD6F2" w14:textId="77777777" w:rsidR="00D567C0" w:rsidRDefault="00F96AE2">
      <w:pPr>
        <w:pStyle w:val="Bodytext20"/>
        <w:numPr>
          <w:ilvl w:val="0"/>
          <w:numId w:val="3"/>
        </w:numPr>
        <w:tabs>
          <w:tab w:val="left" w:pos="422"/>
        </w:tabs>
        <w:jc w:val="both"/>
      </w:pPr>
      <w:bookmarkStart w:id="26" w:name="bookmark46"/>
      <w:r w:rsidRPr="00CE5466">
        <w:rPr>
          <w:rStyle w:val="Bodytext2"/>
        </w:rPr>
        <w:t xml:space="preserve">Hyde, R.; Taylor, P.M.; Hundal, H.S. Amino acid transporters: Roles in amino acid sensing and signalling in animal cells. </w:t>
      </w:r>
      <w:r>
        <w:rPr>
          <w:rStyle w:val="Bodytext2"/>
          <w:i/>
          <w:iCs/>
          <w:lang w:val="ru-RU"/>
        </w:rPr>
        <w:t>Biochem. J.</w:t>
      </w:r>
      <w:r>
        <w:rPr>
          <w:rStyle w:val="Bodytext2"/>
          <w:b/>
          <w:bCs/>
          <w:lang w:val="ru-RU"/>
        </w:rPr>
        <w:t xml:space="preserve"> 2003</w:t>
      </w:r>
      <w:r>
        <w:rPr>
          <w:rStyle w:val="Bodytext2"/>
          <w:lang w:val="ru-RU"/>
        </w:rPr>
        <w:t xml:space="preserve">, </w:t>
      </w:r>
      <w:r>
        <w:rPr>
          <w:rStyle w:val="Bodytext2"/>
          <w:i/>
          <w:iCs/>
          <w:lang w:val="ru-RU"/>
        </w:rPr>
        <w:t>373</w:t>
      </w:r>
      <w:r>
        <w:rPr>
          <w:rStyle w:val="Bodytext2"/>
          <w:lang w:val="ru-RU"/>
        </w:rPr>
        <w:t xml:space="preserve">, 1–18. </w:t>
      </w:r>
      <w:hyperlink r:id="rId83" w:history="1">
        <w:r>
          <w:rPr>
            <w:rStyle w:val="Bodytext2"/>
            <w:lang w:val="ru-RU"/>
          </w:rPr>
          <w:t>[</w:t>
        </w:r>
        <w:r>
          <w:rPr>
            <w:rStyle w:val="Bodytext2"/>
            <w:color w:val="0875B7"/>
            <w:lang w:val="ru-RU"/>
          </w:rPr>
          <w:t>CrossRef</w:t>
        </w:r>
        <w:r>
          <w:rPr>
            <w:rStyle w:val="Bodytext2"/>
            <w:lang w:val="ru-RU"/>
          </w:rPr>
          <w:t>]</w:t>
        </w:r>
        <w:bookmarkEnd w:id="26"/>
      </w:hyperlink>
    </w:p>
    <w:p w14:paraId="04FBE01A" w14:textId="77777777" w:rsidR="00D567C0" w:rsidRDefault="00F96AE2">
      <w:pPr>
        <w:pStyle w:val="Bodytext20"/>
        <w:numPr>
          <w:ilvl w:val="0"/>
          <w:numId w:val="3"/>
        </w:numPr>
        <w:tabs>
          <w:tab w:val="left" w:pos="422"/>
        </w:tabs>
        <w:jc w:val="both"/>
      </w:pPr>
      <w:bookmarkStart w:id="27" w:name="bookmark47"/>
      <w:r w:rsidRPr="00CE5466">
        <w:rPr>
          <w:rStyle w:val="Bodytext2"/>
        </w:rPr>
        <w:t xml:space="preserve">Pochini, L.; Scalise, M.; Galluccio, M.; Indiveri, C. Membrane transporters for the special amino acid glutamine: Structure/function relationships and relevance to human health. </w:t>
      </w:r>
      <w:r>
        <w:rPr>
          <w:rStyle w:val="Bodytext2"/>
          <w:i/>
          <w:iCs/>
          <w:lang w:val="ru-RU"/>
        </w:rPr>
        <w:t>Front. Chem.</w:t>
      </w:r>
      <w:r>
        <w:rPr>
          <w:rStyle w:val="Bodytext2"/>
          <w:b/>
          <w:bCs/>
          <w:lang w:val="ru-RU"/>
        </w:rPr>
        <w:t xml:space="preserve"> 2014</w:t>
      </w:r>
      <w:r>
        <w:rPr>
          <w:rStyle w:val="Bodytext2"/>
          <w:lang w:val="ru-RU"/>
        </w:rPr>
        <w:t xml:space="preserve">, </w:t>
      </w:r>
      <w:r>
        <w:rPr>
          <w:rStyle w:val="Bodytext2"/>
          <w:i/>
          <w:iCs/>
          <w:lang w:val="ru-RU"/>
        </w:rPr>
        <w:t>2</w:t>
      </w:r>
      <w:r>
        <w:rPr>
          <w:rStyle w:val="Bodytext2"/>
          <w:lang w:val="ru-RU"/>
        </w:rPr>
        <w:t xml:space="preserve">, 61. </w:t>
      </w:r>
      <w:hyperlink r:id="rId84" w:history="1">
        <w:r>
          <w:rPr>
            <w:rStyle w:val="Bodytext2"/>
            <w:lang w:val="ru-RU"/>
          </w:rPr>
          <w:t>[</w:t>
        </w:r>
        <w:r>
          <w:rPr>
            <w:rStyle w:val="Bodytext2"/>
            <w:color w:val="0875B7"/>
            <w:lang w:val="ru-RU"/>
          </w:rPr>
          <w:t>CrossRef</w:t>
        </w:r>
        <w:r>
          <w:rPr>
            <w:rStyle w:val="Bodytext2"/>
            <w:lang w:val="ru-RU"/>
          </w:rPr>
          <w:t>]</w:t>
        </w:r>
        <w:bookmarkEnd w:id="27"/>
      </w:hyperlink>
    </w:p>
    <w:p w14:paraId="4DD10549" w14:textId="77777777" w:rsidR="00D567C0" w:rsidRDefault="00F96AE2">
      <w:pPr>
        <w:pStyle w:val="Bodytext20"/>
        <w:numPr>
          <w:ilvl w:val="0"/>
          <w:numId w:val="3"/>
        </w:numPr>
        <w:tabs>
          <w:tab w:val="left" w:pos="422"/>
        </w:tabs>
        <w:jc w:val="both"/>
      </w:pPr>
      <w:bookmarkStart w:id="28" w:name="bookmark48"/>
      <w:r w:rsidRPr="00CE5466">
        <w:rPr>
          <w:rStyle w:val="Bodytext2"/>
        </w:rPr>
        <w:t xml:space="preserve">Bhutia, Y.D.; Ganapathy, V. Glutamine transporters in mammalian cells and their functions in physiology and cancer. </w:t>
      </w:r>
      <w:r>
        <w:rPr>
          <w:rStyle w:val="Bodytext2"/>
          <w:i/>
          <w:iCs/>
          <w:lang w:val="ru-RU"/>
        </w:rPr>
        <w:t>Biochim. Biophys. Acta (BBA) Mol. Cell Res.</w:t>
      </w:r>
      <w:r>
        <w:rPr>
          <w:rStyle w:val="Bodytext2"/>
          <w:b/>
          <w:bCs/>
          <w:lang w:val="ru-RU"/>
        </w:rPr>
        <w:t xml:space="preserve"> 2016</w:t>
      </w:r>
      <w:r>
        <w:rPr>
          <w:rStyle w:val="Bodytext2"/>
          <w:lang w:val="ru-RU"/>
        </w:rPr>
        <w:t xml:space="preserve">, </w:t>
      </w:r>
      <w:r>
        <w:rPr>
          <w:rStyle w:val="Bodytext2"/>
          <w:i/>
          <w:iCs/>
          <w:lang w:val="ru-RU"/>
        </w:rPr>
        <w:t>1863</w:t>
      </w:r>
      <w:r>
        <w:rPr>
          <w:rStyle w:val="Bodytext2"/>
          <w:lang w:val="ru-RU"/>
        </w:rPr>
        <w:t xml:space="preserve">, 2531–2539. </w:t>
      </w:r>
      <w:hyperlink r:id="rId85" w:history="1">
        <w:r>
          <w:rPr>
            <w:rStyle w:val="Bodytext2"/>
            <w:lang w:val="ru-RU"/>
          </w:rPr>
          <w:t>[</w:t>
        </w:r>
        <w:r>
          <w:rPr>
            <w:rStyle w:val="Bodytext2"/>
            <w:color w:val="0875B7"/>
            <w:lang w:val="ru-RU"/>
          </w:rPr>
          <w:t>CrossRef</w:t>
        </w:r>
        <w:r>
          <w:rPr>
            <w:rStyle w:val="Bodytext2"/>
            <w:lang w:val="ru-RU"/>
          </w:rPr>
          <w:t>]</w:t>
        </w:r>
        <w:bookmarkEnd w:id="28"/>
      </w:hyperlink>
    </w:p>
    <w:p w14:paraId="66C49211" w14:textId="77777777" w:rsidR="00D567C0" w:rsidRDefault="00F96AE2">
      <w:pPr>
        <w:pStyle w:val="Bodytext20"/>
        <w:numPr>
          <w:ilvl w:val="0"/>
          <w:numId w:val="3"/>
        </w:numPr>
        <w:tabs>
          <w:tab w:val="left" w:pos="422"/>
        </w:tabs>
        <w:jc w:val="both"/>
      </w:pPr>
      <w:bookmarkStart w:id="29" w:name="bookmark49"/>
      <w:r w:rsidRPr="00CE5466">
        <w:rPr>
          <w:rStyle w:val="Bodytext2"/>
        </w:rPr>
        <w:t xml:space="preserve">Bhutia, Y.D.; Babu, E.; Prasad, P.D.; Ganapathy, V. The amino acid transporter SLC6A14 in cancer and its potential use in chemotherapy. </w:t>
      </w:r>
      <w:r>
        <w:rPr>
          <w:rStyle w:val="Bodytext2"/>
          <w:i/>
          <w:iCs/>
          <w:lang w:val="ru-RU"/>
        </w:rPr>
        <w:t>Asian J. Pharm. Sci.</w:t>
      </w:r>
      <w:r>
        <w:rPr>
          <w:rStyle w:val="Bodytext2"/>
          <w:b/>
          <w:bCs/>
          <w:lang w:val="ru-RU"/>
        </w:rPr>
        <w:t xml:space="preserve"> 2014</w:t>
      </w:r>
      <w:r>
        <w:rPr>
          <w:rStyle w:val="Bodytext2"/>
          <w:lang w:val="ru-RU"/>
        </w:rPr>
        <w:t xml:space="preserve">, </w:t>
      </w:r>
      <w:r>
        <w:rPr>
          <w:rStyle w:val="Bodytext2"/>
          <w:i/>
          <w:iCs/>
          <w:lang w:val="ru-RU"/>
        </w:rPr>
        <w:t>9</w:t>
      </w:r>
      <w:r>
        <w:rPr>
          <w:rStyle w:val="Bodytext2"/>
          <w:lang w:val="ru-RU"/>
        </w:rPr>
        <w:t xml:space="preserve">, 293–303. </w:t>
      </w:r>
      <w:hyperlink r:id="rId86" w:history="1">
        <w:r>
          <w:rPr>
            <w:rStyle w:val="Bodytext2"/>
            <w:lang w:val="ru-RU"/>
          </w:rPr>
          <w:t>[</w:t>
        </w:r>
        <w:r>
          <w:rPr>
            <w:rStyle w:val="Bodytext2"/>
            <w:color w:val="0875B7"/>
            <w:lang w:val="ru-RU"/>
          </w:rPr>
          <w:t>CrossRef</w:t>
        </w:r>
        <w:r>
          <w:rPr>
            <w:rStyle w:val="Bodytext2"/>
            <w:lang w:val="ru-RU"/>
          </w:rPr>
          <w:t>]</w:t>
        </w:r>
        <w:bookmarkEnd w:id="29"/>
      </w:hyperlink>
    </w:p>
    <w:p w14:paraId="1E247A22" w14:textId="77777777" w:rsidR="00D567C0" w:rsidRDefault="00F96AE2">
      <w:pPr>
        <w:pStyle w:val="Bodytext20"/>
        <w:numPr>
          <w:ilvl w:val="0"/>
          <w:numId w:val="3"/>
        </w:numPr>
        <w:tabs>
          <w:tab w:val="left" w:pos="422"/>
        </w:tabs>
        <w:jc w:val="both"/>
      </w:pPr>
      <w:bookmarkStart w:id="30" w:name="bookmark50"/>
      <w:r w:rsidRPr="00CE5466">
        <w:rPr>
          <w:rStyle w:val="Bodytext2"/>
        </w:rPr>
        <w:t xml:space="preserve">Gupta, N.; Miyauchi, S.; Martindale, R.G.; Herdman, A.V.; Podolsky, R.; Miyake, K.; Mager, S.; Prasad, P.D.; Ganapathy, M.E.; Ganapathy, V. Upregulation of the amino acid transporter ATB0,+(SLC6A14) in colorectal cancer and metastasis in humans. </w:t>
      </w:r>
      <w:r>
        <w:rPr>
          <w:rStyle w:val="Bodytext2"/>
          <w:i/>
          <w:iCs/>
          <w:lang w:val="ru-RU"/>
        </w:rPr>
        <w:t>Biochim. Biophys. Acta (BBA) Mol. Basis Dis.</w:t>
      </w:r>
      <w:r>
        <w:rPr>
          <w:rStyle w:val="Bodytext2"/>
          <w:b/>
          <w:bCs/>
          <w:lang w:val="ru-RU"/>
        </w:rPr>
        <w:t xml:space="preserve"> 2005</w:t>
      </w:r>
      <w:r>
        <w:rPr>
          <w:rStyle w:val="Bodytext2"/>
          <w:lang w:val="ru-RU"/>
        </w:rPr>
        <w:t xml:space="preserve">, </w:t>
      </w:r>
      <w:r>
        <w:rPr>
          <w:rStyle w:val="Bodytext2"/>
          <w:i/>
          <w:iCs/>
          <w:lang w:val="ru-RU"/>
        </w:rPr>
        <w:t>1741</w:t>
      </w:r>
      <w:r>
        <w:rPr>
          <w:rStyle w:val="Bodytext2"/>
          <w:lang w:val="ru-RU"/>
        </w:rPr>
        <w:t xml:space="preserve">, 215–223. </w:t>
      </w:r>
      <w:hyperlink r:id="rId87" w:history="1">
        <w:r>
          <w:rPr>
            <w:rStyle w:val="Bodytext2"/>
            <w:lang w:val="ru-RU"/>
          </w:rPr>
          <w:t>[</w:t>
        </w:r>
        <w:r>
          <w:rPr>
            <w:rStyle w:val="Bodytext2"/>
            <w:color w:val="0875B7"/>
            <w:lang w:val="ru-RU"/>
          </w:rPr>
          <w:t>CrossRef</w:t>
        </w:r>
        <w:r>
          <w:rPr>
            <w:rStyle w:val="Bodytext2"/>
            <w:lang w:val="ru-RU"/>
          </w:rPr>
          <w:t>]</w:t>
        </w:r>
        <w:bookmarkEnd w:id="30"/>
      </w:hyperlink>
    </w:p>
    <w:p w14:paraId="786E29AA" w14:textId="77777777" w:rsidR="00D567C0" w:rsidRDefault="00F96AE2">
      <w:pPr>
        <w:pStyle w:val="Bodytext20"/>
        <w:numPr>
          <w:ilvl w:val="0"/>
          <w:numId w:val="3"/>
        </w:numPr>
        <w:tabs>
          <w:tab w:val="left" w:pos="422"/>
        </w:tabs>
        <w:jc w:val="both"/>
      </w:pPr>
      <w:r w:rsidRPr="00CE5466">
        <w:rPr>
          <w:rStyle w:val="Bodytext2"/>
        </w:rPr>
        <w:t xml:space="preserve">Gupta, N.; Prasad, P.D.; Ghamande, S.; Moore-Martin, P.; Herdman, A.V.; Martindale, R.G.; Podolsky, R.; Mager, S.; Ganapathy, M.E.; Ganapathy, V. Up-regulation of the amino acid transporter ATB0,+(SLC6A14) in carcinoma of the cervix. </w:t>
      </w:r>
      <w:r>
        <w:rPr>
          <w:rStyle w:val="Bodytext2"/>
          <w:i/>
          <w:iCs/>
          <w:lang w:val="ru-RU"/>
        </w:rPr>
        <w:t xml:space="preserve">Gynecol. Oncol. </w:t>
      </w:r>
      <w:r>
        <w:rPr>
          <w:rStyle w:val="Bodytext2"/>
          <w:b/>
          <w:bCs/>
          <w:lang w:val="ru-RU"/>
        </w:rPr>
        <w:t>2006</w:t>
      </w:r>
      <w:r>
        <w:rPr>
          <w:rStyle w:val="Bodytext2"/>
          <w:lang w:val="ru-RU"/>
        </w:rPr>
        <w:t xml:space="preserve">, </w:t>
      </w:r>
      <w:r>
        <w:rPr>
          <w:rStyle w:val="Bodytext2"/>
          <w:i/>
          <w:iCs/>
          <w:lang w:val="ru-RU"/>
        </w:rPr>
        <w:t>100</w:t>
      </w:r>
      <w:r>
        <w:rPr>
          <w:rStyle w:val="Bodytext2"/>
          <w:lang w:val="ru-RU"/>
        </w:rPr>
        <w:t xml:space="preserve">, 8–13. </w:t>
      </w:r>
      <w:hyperlink r:id="rId88" w:history="1">
        <w:r>
          <w:rPr>
            <w:rStyle w:val="Bodytext2"/>
            <w:lang w:val="ru-RU"/>
          </w:rPr>
          <w:t>[</w:t>
        </w:r>
        <w:r>
          <w:rPr>
            <w:rStyle w:val="Bodytext2"/>
            <w:color w:val="0875B7"/>
            <w:lang w:val="ru-RU"/>
          </w:rPr>
          <w:t>CrossRef</w:t>
        </w:r>
        <w:r>
          <w:rPr>
            <w:rStyle w:val="Bodytext2"/>
            <w:lang w:val="ru-RU"/>
          </w:rPr>
          <w:t>]</w:t>
        </w:r>
      </w:hyperlink>
    </w:p>
    <w:p w14:paraId="35414B41" w14:textId="77777777" w:rsidR="00D567C0" w:rsidRDefault="00F96AE2">
      <w:pPr>
        <w:pStyle w:val="Bodytext20"/>
        <w:numPr>
          <w:ilvl w:val="0"/>
          <w:numId w:val="3"/>
        </w:numPr>
        <w:tabs>
          <w:tab w:val="left" w:pos="422"/>
        </w:tabs>
        <w:jc w:val="both"/>
      </w:pPr>
      <w:bookmarkStart w:id="31" w:name="bookmark51"/>
      <w:r w:rsidRPr="00CE5466">
        <w:rPr>
          <w:rStyle w:val="Bodytext2"/>
        </w:rPr>
        <w:t xml:space="preserve">Karunakaran, S.; Umapathy, N.S.; Thangaraju, M.; Hatanaka, T.; Itagaki, S.; Munn, D.H.; Prasad, P.D.; Ganapathy, V. Interaction of tryptophan derivatives with SLC6A14 (ATB0,+) reveals the potential of the transporter as a drug target for cancer chemotherapy. </w:t>
      </w:r>
      <w:r>
        <w:rPr>
          <w:rStyle w:val="Bodytext2"/>
          <w:i/>
          <w:iCs/>
          <w:lang w:val="ru-RU"/>
        </w:rPr>
        <w:t>Biochem. J.</w:t>
      </w:r>
      <w:r>
        <w:rPr>
          <w:rStyle w:val="Bodytext2"/>
          <w:b/>
          <w:bCs/>
          <w:lang w:val="ru-RU"/>
        </w:rPr>
        <w:t xml:space="preserve"> 2008</w:t>
      </w:r>
      <w:r>
        <w:rPr>
          <w:rStyle w:val="Bodytext2"/>
          <w:lang w:val="ru-RU"/>
        </w:rPr>
        <w:t xml:space="preserve">, </w:t>
      </w:r>
      <w:r>
        <w:rPr>
          <w:rStyle w:val="Bodytext2"/>
          <w:i/>
          <w:iCs/>
          <w:lang w:val="ru-RU"/>
        </w:rPr>
        <w:t>414</w:t>
      </w:r>
      <w:r>
        <w:rPr>
          <w:rStyle w:val="Bodytext2"/>
          <w:lang w:val="ru-RU"/>
        </w:rPr>
        <w:t xml:space="preserve">, 343–355. </w:t>
      </w:r>
      <w:hyperlink r:id="rId89"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90" w:history="1">
        <w:r>
          <w:rPr>
            <w:rStyle w:val="Bodytext2"/>
            <w:lang w:val="ru-RU"/>
          </w:rPr>
          <w:t>[</w:t>
        </w:r>
        <w:r>
          <w:rPr>
            <w:rStyle w:val="Bodytext2"/>
            <w:color w:val="0875B7"/>
            <w:lang w:val="ru-RU"/>
          </w:rPr>
          <w:t>PubMed</w:t>
        </w:r>
        <w:r>
          <w:rPr>
            <w:rStyle w:val="Bodytext2"/>
            <w:lang w:val="ru-RU"/>
          </w:rPr>
          <w:t>]</w:t>
        </w:r>
        <w:bookmarkEnd w:id="31"/>
      </w:hyperlink>
    </w:p>
    <w:p w14:paraId="24F0D70E" w14:textId="77777777" w:rsidR="00D567C0" w:rsidRDefault="00F96AE2">
      <w:pPr>
        <w:pStyle w:val="Bodytext20"/>
        <w:numPr>
          <w:ilvl w:val="0"/>
          <w:numId w:val="3"/>
        </w:numPr>
        <w:tabs>
          <w:tab w:val="left" w:pos="422"/>
        </w:tabs>
        <w:jc w:val="both"/>
      </w:pPr>
      <w:bookmarkStart w:id="32" w:name="bookmark52"/>
      <w:r w:rsidRPr="00CE5466">
        <w:rPr>
          <w:rStyle w:val="Bodytext2"/>
        </w:rPr>
        <w:t xml:space="preserve">Karunakaran, S.; Ramachandran, S.; Coothankandaswamy, V.; Elangovan, S.; Babu, E.; Periyasamy-Thandavan, S.; Gurav, A.; Gnanaprakasam, J.P.; Singh, N.; Schoenlein, P.V.; et al. SLC6A14 (ATB0,+) protein, a highly concentrative and broad specific amino acid transporter, is a novel and effective drug target for treatment of estrogen receptor-positive breast cancer. </w:t>
      </w:r>
      <w:r w:rsidRPr="00CE5466">
        <w:rPr>
          <w:rStyle w:val="Bodytext2"/>
          <w:i/>
          <w:iCs/>
        </w:rPr>
        <w:t xml:space="preserve">J. Biol. </w:t>
      </w:r>
      <w:r>
        <w:rPr>
          <w:rStyle w:val="Bodytext2"/>
          <w:i/>
          <w:iCs/>
          <w:lang w:val="ru-RU"/>
        </w:rPr>
        <w:t xml:space="preserve">Chem. </w:t>
      </w:r>
      <w:r>
        <w:rPr>
          <w:rStyle w:val="Bodytext2"/>
          <w:b/>
          <w:bCs/>
          <w:lang w:val="ru-RU"/>
        </w:rPr>
        <w:t>2011</w:t>
      </w:r>
      <w:r>
        <w:rPr>
          <w:rStyle w:val="Bodytext2"/>
          <w:lang w:val="ru-RU"/>
        </w:rPr>
        <w:t xml:space="preserve">, </w:t>
      </w:r>
      <w:r>
        <w:rPr>
          <w:rStyle w:val="Bodytext2"/>
          <w:i/>
          <w:iCs/>
          <w:lang w:val="ru-RU"/>
        </w:rPr>
        <w:t>286</w:t>
      </w:r>
      <w:r>
        <w:rPr>
          <w:rStyle w:val="Bodytext2"/>
          <w:lang w:val="ru-RU"/>
        </w:rPr>
        <w:t xml:space="preserve">, 31830–31838. </w:t>
      </w:r>
      <w:hyperlink r:id="rId91"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92" w:history="1">
        <w:r>
          <w:rPr>
            <w:rStyle w:val="Bodytext2"/>
            <w:lang w:val="ru-RU"/>
          </w:rPr>
          <w:t>[</w:t>
        </w:r>
        <w:r>
          <w:rPr>
            <w:rStyle w:val="Bodytext2"/>
            <w:color w:val="0875B7"/>
            <w:lang w:val="ru-RU"/>
          </w:rPr>
          <w:t>PubMed</w:t>
        </w:r>
        <w:r>
          <w:rPr>
            <w:rStyle w:val="Bodytext2"/>
            <w:lang w:val="ru-RU"/>
          </w:rPr>
          <w:t>]</w:t>
        </w:r>
        <w:bookmarkEnd w:id="32"/>
      </w:hyperlink>
    </w:p>
    <w:p w14:paraId="4676F0C7" w14:textId="77777777" w:rsidR="00D567C0" w:rsidRDefault="00F96AE2">
      <w:pPr>
        <w:pStyle w:val="Bodytext20"/>
        <w:numPr>
          <w:ilvl w:val="0"/>
          <w:numId w:val="3"/>
        </w:numPr>
        <w:tabs>
          <w:tab w:val="left" w:pos="422"/>
        </w:tabs>
        <w:jc w:val="both"/>
      </w:pPr>
      <w:bookmarkStart w:id="33" w:name="bookmark53"/>
      <w:r w:rsidRPr="00CE5466">
        <w:rPr>
          <w:rStyle w:val="Bodytext2"/>
        </w:rPr>
        <w:t xml:space="preserve">Penheiter, A.R.; Erdogan, S.; Murphy, S.J.; Hart, S.N.; Felipe Lima, J.; Rakhshan Rohakhtar, F.; O’Brien, D.R.; Bamlet, W.; Wuertz, R.E.; Smyrk, T.C.; et al. Transcriptomic and immunohistochemical profiling of SLC6A14 in pancreatic ductal adenocarcinoma. </w:t>
      </w:r>
      <w:r w:rsidRPr="00CE5466">
        <w:rPr>
          <w:rStyle w:val="Bodytext2"/>
          <w:i/>
          <w:iCs/>
        </w:rPr>
        <w:t>BioMed Res. Int.</w:t>
      </w:r>
      <w:r w:rsidRPr="00CE5466">
        <w:rPr>
          <w:rStyle w:val="Bodytext2"/>
          <w:b/>
          <w:bCs/>
        </w:rPr>
        <w:t xml:space="preserve"> 2015</w:t>
      </w:r>
      <w:r w:rsidRPr="00CE5466">
        <w:rPr>
          <w:rStyle w:val="Bodytext2"/>
        </w:rPr>
        <w:t xml:space="preserve">, </w:t>
      </w:r>
      <w:r w:rsidRPr="00CE5466">
        <w:rPr>
          <w:rStyle w:val="Bodytext2"/>
          <w:i/>
          <w:iCs/>
        </w:rPr>
        <w:t>2015</w:t>
      </w:r>
      <w:r w:rsidRPr="00CE5466">
        <w:rPr>
          <w:rStyle w:val="Bodytext2"/>
        </w:rPr>
        <w:t xml:space="preserve">, 593572. </w:t>
      </w:r>
      <w:hyperlink r:id="rId93" w:history="1">
        <w:r w:rsidRPr="00663008">
          <w:rPr>
            <w:rStyle w:val="Bodytext2"/>
          </w:rPr>
          <w:t>[</w:t>
        </w:r>
        <w:r w:rsidRPr="00663008">
          <w:rPr>
            <w:rStyle w:val="Bodytext2"/>
            <w:color w:val="0875B7"/>
          </w:rPr>
          <w:t>CrossRef</w:t>
        </w:r>
        <w:r w:rsidRPr="00663008">
          <w:rPr>
            <w:rStyle w:val="Bodytext2"/>
          </w:rPr>
          <w:t>]</w:t>
        </w:r>
      </w:hyperlink>
      <w:r w:rsidRPr="00663008">
        <w:rPr>
          <w:rStyle w:val="Bodytext2"/>
        </w:rPr>
        <w:t xml:space="preserve"> </w:t>
      </w:r>
      <w:hyperlink r:id="rId94" w:history="1">
        <w:r w:rsidRPr="00663008">
          <w:rPr>
            <w:rStyle w:val="Bodytext2"/>
          </w:rPr>
          <w:t>[</w:t>
        </w:r>
        <w:r w:rsidRPr="00663008">
          <w:rPr>
            <w:rStyle w:val="Bodytext2"/>
            <w:color w:val="0875B7"/>
          </w:rPr>
          <w:t>PubMed</w:t>
        </w:r>
        <w:r w:rsidRPr="00663008">
          <w:rPr>
            <w:rStyle w:val="Bodytext2"/>
          </w:rPr>
          <w:t>]</w:t>
        </w:r>
        <w:bookmarkEnd w:id="33"/>
      </w:hyperlink>
    </w:p>
    <w:p w14:paraId="5BFFE113" w14:textId="77777777" w:rsidR="00D567C0" w:rsidRDefault="00F96AE2">
      <w:pPr>
        <w:pStyle w:val="Bodytext20"/>
        <w:numPr>
          <w:ilvl w:val="0"/>
          <w:numId w:val="3"/>
        </w:numPr>
        <w:tabs>
          <w:tab w:val="left" w:pos="422"/>
        </w:tabs>
        <w:jc w:val="both"/>
      </w:pPr>
      <w:bookmarkStart w:id="34" w:name="bookmark54"/>
      <w:r w:rsidRPr="00CE5466">
        <w:rPr>
          <w:rStyle w:val="Bodytext2"/>
        </w:rPr>
        <w:t xml:space="preserve">Coothankandaswamy, V.; Cao, S.; Xu, Y.; Prasad, P.; Singh, P.; Reynolds, C.; Yang, S.; Ogura, J.; Ganapathy, V.; Bhutia, Y.D. Amino acid transporter SLC6A14 is a novel and effective drug target for pancreatic cancer. </w:t>
      </w:r>
      <w:r>
        <w:rPr>
          <w:rStyle w:val="Bodytext2"/>
          <w:i/>
          <w:iCs/>
          <w:lang w:val="ru-RU"/>
        </w:rPr>
        <w:t>Br. J. Pharmacol.</w:t>
      </w:r>
      <w:r>
        <w:rPr>
          <w:rStyle w:val="Bodytext2"/>
          <w:b/>
          <w:bCs/>
          <w:lang w:val="ru-RU"/>
        </w:rPr>
        <w:t xml:space="preserve"> 2016</w:t>
      </w:r>
      <w:r>
        <w:rPr>
          <w:rStyle w:val="Bodytext2"/>
          <w:lang w:val="ru-RU"/>
        </w:rPr>
        <w:t xml:space="preserve">, </w:t>
      </w:r>
      <w:r>
        <w:rPr>
          <w:rStyle w:val="Bodytext2"/>
          <w:i/>
          <w:iCs/>
          <w:lang w:val="ru-RU"/>
        </w:rPr>
        <w:t>173</w:t>
      </w:r>
      <w:r>
        <w:rPr>
          <w:rStyle w:val="Bodytext2"/>
          <w:lang w:val="ru-RU"/>
        </w:rPr>
        <w:t xml:space="preserve">, 3292–3306. </w:t>
      </w:r>
      <w:hyperlink r:id="rId95" w:history="1">
        <w:r>
          <w:rPr>
            <w:rStyle w:val="Bodytext2"/>
            <w:lang w:val="ru-RU"/>
          </w:rPr>
          <w:t>[</w:t>
        </w:r>
        <w:r>
          <w:rPr>
            <w:rStyle w:val="Bodytext2"/>
            <w:color w:val="0875B7"/>
            <w:lang w:val="ru-RU"/>
          </w:rPr>
          <w:t>CrossRef</w:t>
        </w:r>
        <w:r>
          <w:rPr>
            <w:rStyle w:val="Bodytext2"/>
            <w:lang w:val="ru-RU"/>
          </w:rPr>
          <w:t>]</w:t>
        </w:r>
        <w:bookmarkEnd w:id="34"/>
      </w:hyperlink>
    </w:p>
    <w:p w14:paraId="026A8D7E" w14:textId="77777777" w:rsidR="00D567C0" w:rsidRDefault="00F96AE2">
      <w:pPr>
        <w:pStyle w:val="Bodytext20"/>
        <w:numPr>
          <w:ilvl w:val="0"/>
          <w:numId w:val="3"/>
        </w:numPr>
        <w:tabs>
          <w:tab w:val="left" w:pos="422"/>
        </w:tabs>
        <w:jc w:val="both"/>
      </w:pPr>
      <w:bookmarkStart w:id="35" w:name="bookmark55"/>
      <w:r w:rsidRPr="00CE5466">
        <w:rPr>
          <w:rStyle w:val="Bodytext2"/>
        </w:rPr>
        <w:t xml:space="preserve">Zhu, B.; Cheng, D.; Hou, L.; Zhou, S.; Ying, T.; Yang, Q. SLC3A2 is upregulated in human osteosarcoma and promotes tumor growth through the PI3K/Akt signaling pathway. </w:t>
      </w:r>
      <w:r>
        <w:rPr>
          <w:rStyle w:val="Bodytext2"/>
          <w:i/>
          <w:iCs/>
          <w:lang w:val="ru-RU"/>
        </w:rPr>
        <w:t>Oncol. Rep.</w:t>
      </w:r>
      <w:r>
        <w:rPr>
          <w:rStyle w:val="Bodytext2"/>
          <w:b/>
          <w:bCs/>
          <w:lang w:val="ru-RU"/>
        </w:rPr>
        <w:t xml:space="preserve"> 2017</w:t>
      </w:r>
      <w:r>
        <w:rPr>
          <w:rStyle w:val="Bodytext2"/>
          <w:lang w:val="ru-RU"/>
        </w:rPr>
        <w:t xml:space="preserve">, </w:t>
      </w:r>
      <w:r>
        <w:rPr>
          <w:rStyle w:val="Bodytext2"/>
          <w:i/>
          <w:iCs/>
          <w:lang w:val="ru-RU"/>
        </w:rPr>
        <w:t>37</w:t>
      </w:r>
      <w:r>
        <w:rPr>
          <w:rStyle w:val="Bodytext2"/>
          <w:lang w:val="ru-RU"/>
        </w:rPr>
        <w:t xml:space="preserve">, 2575–2582. </w:t>
      </w:r>
      <w:hyperlink r:id="rId96" w:history="1">
        <w:r>
          <w:rPr>
            <w:rStyle w:val="Bodytext2"/>
            <w:lang w:val="ru-RU"/>
          </w:rPr>
          <w:t>[</w:t>
        </w:r>
        <w:r>
          <w:rPr>
            <w:rStyle w:val="Bodytext2"/>
            <w:color w:val="0875B7"/>
            <w:lang w:val="ru-RU"/>
          </w:rPr>
          <w:t>CrossRef</w:t>
        </w:r>
        <w:r>
          <w:rPr>
            <w:rStyle w:val="Bodytext2"/>
            <w:lang w:val="ru-RU"/>
          </w:rPr>
          <w:t>]</w:t>
        </w:r>
        <w:bookmarkEnd w:id="35"/>
      </w:hyperlink>
    </w:p>
    <w:p w14:paraId="4CC2CA5A" w14:textId="77777777" w:rsidR="00D567C0" w:rsidRDefault="00F96AE2">
      <w:pPr>
        <w:pStyle w:val="Bodytext20"/>
        <w:numPr>
          <w:ilvl w:val="0"/>
          <w:numId w:val="3"/>
        </w:numPr>
        <w:tabs>
          <w:tab w:val="left" w:pos="422"/>
        </w:tabs>
        <w:jc w:val="both"/>
      </w:pPr>
      <w:bookmarkStart w:id="36" w:name="bookmark56"/>
      <w:r w:rsidRPr="00CE5466">
        <w:rPr>
          <w:rStyle w:val="Bodytext2"/>
        </w:rPr>
        <w:t xml:space="preserve">Chernysh, S.; Kim, S.; Bekker, G.; Pleskach, V.; Filatova, N.; Anikin, V.; Platonov, V.G.; Bulet, P. Antiviral and antitumor peptides from insects. </w:t>
      </w:r>
      <w:r>
        <w:rPr>
          <w:rStyle w:val="Bodytext2"/>
          <w:i/>
          <w:iCs/>
          <w:lang w:val="ru-RU"/>
        </w:rPr>
        <w:t>Proc. Natl. Acad. Sci. USA</w:t>
      </w:r>
      <w:r>
        <w:rPr>
          <w:rStyle w:val="Bodytext2"/>
          <w:b/>
          <w:bCs/>
          <w:lang w:val="ru-RU"/>
        </w:rPr>
        <w:t xml:space="preserve"> 2002</w:t>
      </w:r>
      <w:r>
        <w:rPr>
          <w:rStyle w:val="Bodytext2"/>
          <w:lang w:val="ru-RU"/>
        </w:rPr>
        <w:t xml:space="preserve">, </w:t>
      </w:r>
      <w:r>
        <w:rPr>
          <w:rStyle w:val="Bodytext2"/>
          <w:i/>
          <w:iCs/>
          <w:lang w:val="ru-RU"/>
        </w:rPr>
        <w:t>99</w:t>
      </w:r>
      <w:r>
        <w:rPr>
          <w:rStyle w:val="Bodytext2"/>
          <w:lang w:val="ru-RU"/>
        </w:rPr>
        <w:t xml:space="preserve">, 12628–12632. </w:t>
      </w:r>
      <w:hyperlink r:id="rId97" w:history="1">
        <w:r>
          <w:rPr>
            <w:rStyle w:val="Bodytext2"/>
            <w:lang w:val="ru-RU"/>
          </w:rPr>
          <w:t>[</w:t>
        </w:r>
        <w:r>
          <w:rPr>
            <w:rStyle w:val="Bodytext2"/>
            <w:color w:val="0875B7"/>
            <w:lang w:val="ru-RU"/>
          </w:rPr>
          <w:t>CrossRef</w:t>
        </w:r>
        <w:r>
          <w:rPr>
            <w:rStyle w:val="Bodytext2"/>
            <w:lang w:val="ru-RU"/>
          </w:rPr>
          <w:t>]</w:t>
        </w:r>
        <w:bookmarkEnd w:id="36"/>
      </w:hyperlink>
    </w:p>
    <w:p w14:paraId="67D9C5A6" w14:textId="77777777" w:rsidR="00D567C0" w:rsidRDefault="00F96AE2">
      <w:pPr>
        <w:pStyle w:val="Bodytext20"/>
        <w:numPr>
          <w:ilvl w:val="0"/>
          <w:numId w:val="3"/>
        </w:numPr>
        <w:tabs>
          <w:tab w:val="left" w:pos="422"/>
        </w:tabs>
        <w:jc w:val="both"/>
      </w:pPr>
      <w:bookmarkStart w:id="37" w:name="bookmark57"/>
      <w:r w:rsidRPr="00CE5466">
        <w:rPr>
          <w:rStyle w:val="Bodytext2"/>
        </w:rPr>
        <w:t xml:space="preserve">Kuczer, M.; Dziubasik, K.; Midak-Siewirska, A.; Zahorska, R.; Łuczak, M.; Konopin´ ska, D. Studies of insect peptides alloferon, Any-GS and their analogues. Synthesis and antiherpes activity. </w:t>
      </w:r>
      <w:r w:rsidRPr="00CE5466">
        <w:rPr>
          <w:rStyle w:val="Bodytext2"/>
          <w:i/>
          <w:iCs/>
        </w:rPr>
        <w:t xml:space="preserve">J. Pept. Sci. Off. Publ. Eur. </w:t>
      </w:r>
      <w:r>
        <w:rPr>
          <w:rStyle w:val="Bodytext2"/>
          <w:i/>
          <w:iCs/>
          <w:lang w:val="ru-RU"/>
        </w:rPr>
        <w:t>Pept. Soc.</w:t>
      </w:r>
      <w:r>
        <w:rPr>
          <w:rStyle w:val="Bodytext2"/>
          <w:b/>
          <w:bCs/>
          <w:lang w:val="ru-RU"/>
        </w:rPr>
        <w:t xml:space="preserve"> 2010</w:t>
      </w:r>
      <w:r>
        <w:rPr>
          <w:rStyle w:val="Bodytext2"/>
          <w:lang w:val="ru-RU"/>
        </w:rPr>
        <w:t xml:space="preserve">, </w:t>
      </w:r>
      <w:r>
        <w:rPr>
          <w:rStyle w:val="Bodytext2"/>
          <w:i/>
          <w:iCs/>
          <w:lang w:val="ru-RU"/>
        </w:rPr>
        <w:t>16</w:t>
      </w:r>
      <w:r>
        <w:rPr>
          <w:rStyle w:val="Bodytext2"/>
          <w:lang w:val="ru-RU"/>
        </w:rPr>
        <w:t xml:space="preserve">, 186–189. </w:t>
      </w:r>
      <w:hyperlink r:id="rId98" w:history="1">
        <w:r>
          <w:rPr>
            <w:rStyle w:val="Bodytext2"/>
            <w:lang w:val="ru-RU"/>
          </w:rPr>
          <w:t>[</w:t>
        </w:r>
        <w:r>
          <w:rPr>
            <w:rStyle w:val="Bodytext2"/>
            <w:color w:val="0875B7"/>
            <w:lang w:val="ru-RU"/>
          </w:rPr>
          <w:t>CrossRef</w:t>
        </w:r>
        <w:r>
          <w:rPr>
            <w:rStyle w:val="Bodytext2"/>
            <w:lang w:val="ru-RU"/>
          </w:rPr>
          <w:t>]</w:t>
        </w:r>
        <w:bookmarkEnd w:id="37"/>
      </w:hyperlink>
    </w:p>
    <w:p w14:paraId="288051D0" w14:textId="77777777" w:rsidR="00D567C0" w:rsidRDefault="00F96AE2">
      <w:pPr>
        <w:pStyle w:val="Bodytext20"/>
        <w:numPr>
          <w:ilvl w:val="0"/>
          <w:numId w:val="3"/>
        </w:numPr>
        <w:tabs>
          <w:tab w:val="left" w:pos="422"/>
        </w:tabs>
        <w:jc w:val="both"/>
      </w:pPr>
      <w:r w:rsidRPr="00CE5466">
        <w:rPr>
          <w:rStyle w:val="Bodytext2"/>
        </w:rPr>
        <w:t xml:space="preserve">Kim, Y.; Lee, S.K.; Bae, S.; Kim, H.; Park, Y.; Chu, N.K.; Kim, S.G.; Kim, H.-R.; Hwang, Y.-I.; Kang, J.S.; et al. The anti-inflammatory effect of </w:t>
      </w:r>
      <w:r w:rsidRPr="00CE5466">
        <w:rPr>
          <w:rStyle w:val="Bodytext2"/>
        </w:rPr>
        <w:lastRenderedPageBreak/>
        <w:t xml:space="preserve">alloferon on UVB-induced skin inflammation through the down-regulation of pro-inflammatory cytokines. </w:t>
      </w:r>
      <w:r>
        <w:rPr>
          <w:rStyle w:val="Bodytext2"/>
          <w:i/>
          <w:iCs/>
          <w:lang w:val="ru-RU"/>
        </w:rPr>
        <w:t>Immunol. Lett.</w:t>
      </w:r>
      <w:r>
        <w:rPr>
          <w:rStyle w:val="Bodytext2"/>
          <w:b/>
          <w:bCs/>
          <w:lang w:val="ru-RU"/>
        </w:rPr>
        <w:t xml:space="preserve"> 2013</w:t>
      </w:r>
      <w:r>
        <w:rPr>
          <w:rStyle w:val="Bodytext2"/>
          <w:lang w:val="ru-RU"/>
        </w:rPr>
        <w:t xml:space="preserve">, </w:t>
      </w:r>
      <w:r>
        <w:rPr>
          <w:rStyle w:val="Bodytext2"/>
          <w:i/>
          <w:iCs/>
          <w:lang w:val="ru-RU"/>
        </w:rPr>
        <w:t>149</w:t>
      </w:r>
      <w:r>
        <w:rPr>
          <w:rStyle w:val="Bodytext2"/>
          <w:lang w:val="ru-RU"/>
        </w:rPr>
        <w:t xml:space="preserve">, 110–118. </w:t>
      </w:r>
      <w:hyperlink r:id="rId99" w:history="1">
        <w:r>
          <w:rPr>
            <w:rStyle w:val="Bodytext2"/>
            <w:lang w:val="ru-RU"/>
          </w:rPr>
          <w:t>[</w:t>
        </w:r>
        <w:r>
          <w:rPr>
            <w:rStyle w:val="Bodytext2"/>
            <w:color w:val="0875B7"/>
            <w:lang w:val="ru-RU"/>
          </w:rPr>
          <w:t>CrossRef</w:t>
        </w:r>
        <w:r>
          <w:rPr>
            <w:rStyle w:val="Bodytext2"/>
            <w:lang w:val="ru-RU"/>
          </w:rPr>
          <w:t>]</w:t>
        </w:r>
      </w:hyperlink>
    </w:p>
    <w:p w14:paraId="5DCF709A" w14:textId="77777777" w:rsidR="00D567C0" w:rsidRDefault="00F96AE2">
      <w:pPr>
        <w:pStyle w:val="Bodytext20"/>
        <w:numPr>
          <w:ilvl w:val="0"/>
          <w:numId w:val="3"/>
        </w:numPr>
        <w:tabs>
          <w:tab w:val="left" w:pos="422"/>
        </w:tabs>
        <w:jc w:val="both"/>
      </w:pPr>
      <w:bookmarkStart w:id="38" w:name="bookmark58"/>
      <w:r w:rsidRPr="00CE5466">
        <w:rPr>
          <w:rStyle w:val="Bodytext2"/>
        </w:rPr>
        <w:t xml:space="preserve">Chernysh, S.; Irina, K.; Irina, A. Anti-tumor activity of immunomodulatory peptide alloferon-1 in mouse tumor transplantation model. </w:t>
      </w:r>
      <w:r>
        <w:rPr>
          <w:rStyle w:val="Bodytext2"/>
          <w:i/>
          <w:iCs/>
          <w:lang w:val="ru-RU"/>
        </w:rPr>
        <w:t>Int. Immunopharmacol.</w:t>
      </w:r>
      <w:r>
        <w:rPr>
          <w:rStyle w:val="Bodytext2"/>
          <w:b/>
          <w:bCs/>
          <w:lang w:val="ru-RU"/>
        </w:rPr>
        <w:t xml:space="preserve"> 2012</w:t>
      </w:r>
      <w:r>
        <w:rPr>
          <w:rStyle w:val="Bodytext2"/>
          <w:lang w:val="ru-RU"/>
        </w:rPr>
        <w:t xml:space="preserve">, </w:t>
      </w:r>
      <w:r>
        <w:rPr>
          <w:rStyle w:val="Bodytext2"/>
          <w:i/>
          <w:iCs/>
          <w:lang w:val="ru-RU"/>
        </w:rPr>
        <w:t>12</w:t>
      </w:r>
      <w:r>
        <w:rPr>
          <w:rStyle w:val="Bodytext2"/>
          <w:lang w:val="ru-RU"/>
        </w:rPr>
        <w:t xml:space="preserve">, 312–314. </w:t>
      </w:r>
      <w:hyperlink r:id="rId100" w:history="1">
        <w:r>
          <w:rPr>
            <w:rStyle w:val="Bodytext2"/>
            <w:lang w:val="ru-RU"/>
          </w:rPr>
          <w:t>[</w:t>
        </w:r>
        <w:r>
          <w:rPr>
            <w:rStyle w:val="Bodytext2"/>
            <w:color w:val="0875B7"/>
            <w:lang w:val="ru-RU"/>
          </w:rPr>
          <w:t>CrossRef</w:t>
        </w:r>
        <w:r>
          <w:rPr>
            <w:rStyle w:val="Bodytext2"/>
            <w:lang w:val="ru-RU"/>
          </w:rPr>
          <w:t>]</w:t>
        </w:r>
        <w:bookmarkEnd w:id="38"/>
      </w:hyperlink>
    </w:p>
    <w:p w14:paraId="7A1FAE31" w14:textId="77777777" w:rsidR="00D567C0" w:rsidRDefault="00F96AE2">
      <w:pPr>
        <w:pStyle w:val="Bodytext20"/>
        <w:numPr>
          <w:ilvl w:val="0"/>
          <w:numId w:val="3"/>
        </w:numPr>
        <w:tabs>
          <w:tab w:val="left" w:pos="422"/>
        </w:tabs>
        <w:jc w:val="both"/>
      </w:pPr>
      <w:bookmarkStart w:id="39" w:name="bookmark59"/>
      <w:r w:rsidRPr="00CE5466">
        <w:rPr>
          <w:rStyle w:val="Bodytext2"/>
        </w:rPr>
        <w:t xml:space="preserve">Bae, S.; Oh, K.; Kim, H.; Kim, Y.; Kim, H.-R.; Hwang, Y.-i.; Lee, D.-S.; Kang, J.S.; Lee, W.J. The effect of alloferon on the enhancement of NK cell cytotoxicity against cancer via the up-regulation of perforin/granzyme B secretion. </w:t>
      </w:r>
      <w:r>
        <w:rPr>
          <w:rStyle w:val="Bodytext2"/>
          <w:i/>
          <w:iCs/>
          <w:lang w:val="ru-RU"/>
        </w:rPr>
        <w:t>Immunobiology</w:t>
      </w:r>
      <w:r>
        <w:rPr>
          <w:rStyle w:val="Bodytext2"/>
          <w:b/>
          <w:bCs/>
          <w:lang w:val="ru-RU"/>
        </w:rPr>
        <w:t xml:space="preserve"> 2013</w:t>
      </w:r>
      <w:r>
        <w:rPr>
          <w:rStyle w:val="Bodytext2"/>
          <w:lang w:val="ru-RU"/>
        </w:rPr>
        <w:t xml:space="preserve">, </w:t>
      </w:r>
      <w:r>
        <w:rPr>
          <w:rStyle w:val="Bodytext2"/>
          <w:i/>
          <w:iCs/>
          <w:lang w:val="ru-RU"/>
        </w:rPr>
        <w:t>218</w:t>
      </w:r>
      <w:r>
        <w:rPr>
          <w:rStyle w:val="Bodytext2"/>
          <w:lang w:val="ru-RU"/>
        </w:rPr>
        <w:t xml:space="preserve">, 1026–1033. </w:t>
      </w:r>
      <w:hyperlink r:id="rId101" w:history="1">
        <w:r>
          <w:rPr>
            <w:rStyle w:val="Bodytext2"/>
            <w:lang w:val="ru-RU"/>
          </w:rPr>
          <w:t>[</w:t>
        </w:r>
        <w:r>
          <w:rPr>
            <w:rStyle w:val="Bodytext2"/>
            <w:color w:val="0875B7"/>
            <w:lang w:val="ru-RU"/>
          </w:rPr>
          <w:t>CrossRef</w:t>
        </w:r>
        <w:r>
          <w:rPr>
            <w:rStyle w:val="Bodytext2"/>
            <w:lang w:val="ru-RU"/>
          </w:rPr>
          <w:t>]</w:t>
        </w:r>
        <w:bookmarkEnd w:id="39"/>
      </w:hyperlink>
    </w:p>
    <w:p w14:paraId="2C6A7D5F" w14:textId="77777777" w:rsidR="00D567C0" w:rsidRDefault="00F96AE2">
      <w:pPr>
        <w:pStyle w:val="Bodytext20"/>
        <w:numPr>
          <w:ilvl w:val="0"/>
          <w:numId w:val="3"/>
        </w:numPr>
        <w:tabs>
          <w:tab w:val="left" w:pos="422"/>
        </w:tabs>
        <w:jc w:val="both"/>
      </w:pPr>
      <w:bookmarkStart w:id="40" w:name="bookmark60"/>
      <w:r w:rsidRPr="00CE5466">
        <w:rPr>
          <w:rStyle w:val="Bodytext2"/>
        </w:rPr>
        <w:t xml:space="preserve">Jeon, J.; Kim, Y.; Kim, H.; Kang, J.S.; Lee, W.J. Anti-inflammatory effect of alloferon on ovalbumin-induced asthma. </w:t>
      </w:r>
      <w:r>
        <w:rPr>
          <w:rStyle w:val="Bodytext2"/>
          <w:i/>
          <w:iCs/>
          <w:lang w:val="ru-RU"/>
        </w:rPr>
        <w:t xml:space="preserve">Immune Netw. </w:t>
      </w:r>
      <w:r>
        <w:rPr>
          <w:rStyle w:val="Bodytext2"/>
          <w:b/>
          <w:bCs/>
          <w:lang w:val="ru-RU"/>
        </w:rPr>
        <w:t>2015</w:t>
      </w:r>
      <w:r>
        <w:rPr>
          <w:rStyle w:val="Bodytext2"/>
          <w:lang w:val="ru-RU"/>
        </w:rPr>
        <w:t xml:space="preserve">, </w:t>
      </w:r>
      <w:r>
        <w:rPr>
          <w:rStyle w:val="Bodytext2"/>
          <w:i/>
          <w:iCs/>
          <w:lang w:val="ru-RU"/>
        </w:rPr>
        <w:t>15</w:t>
      </w:r>
      <w:r>
        <w:rPr>
          <w:rStyle w:val="Bodytext2"/>
          <w:lang w:val="ru-RU"/>
        </w:rPr>
        <w:t xml:space="preserve">, 304–312. </w:t>
      </w:r>
      <w:hyperlink r:id="rId102"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103" w:history="1">
        <w:r>
          <w:rPr>
            <w:rStyle w:val="Bodytext2"/>
            <w:lang w:val="ru-RU"/>
          </w:rPr>
          <w:t>[</w:t>
        </w:r>
        <w:r>
          <w:rPr>
            <w:rStyle w:val="Bodytext2"/>
            <w:color w:val="0875B7"/>
            <w:lang w:val="ru-RU"/>
          </w:rPr>
          <w:t>PubMed</w:t>
        </w:r>
        <w:r>
          <w:rPr>
            <w:rStyle w:val="Bodytext2"/>
            <w:lang w:val="ru-RU"/>
          </w:rPr>
          <w:t>]</w:t>
        </w:r>
        <w:bookmarkEnd w:id="40"/>
      </w:hyperlink>
    </w:p>
    <w:p w14:paraId="0C586AD3" w14:textId="77777777" w:rsidR="00D567C0" w:rsidRDefault="00F96AE2">
      <w:pPr>
        <w:pStyle w:val="Bodytext20"/>
        <w:numPr>
          <w:ilvl w:val="0"/>
          <w:numId w:val="3"/>
        </w:numPr>
        <w:tabs>
          <w:tab w:val="left" w:pos="422"/>
        </w:tabs>
        <w:jc w:val="both"/>
      </w:pPr>
      <w:bookmarkStart w:id="41" w:name="bookmark61"/>
      <w:r w:rsidRPr="00CE5466">
        <w:rPr>
          <w:rStyle w:val="Bodytext2"/>
        </w:rPr>
        <w:t xml:space="preserve">Cai, A.; Zheng, H.; Chen, Z.; Lin, X.; Li, C.; Yao, Q.; Bhutia, Y.D.; Ganapathy, V.; Chen, R.; Kou, L. Synergism between SLC6A14 blockade and gemcitabine in pancreactic cancer: A 1H-NMR-based metabolomic study in pancreatic cancer cells. </w:t>
      </w:r>
      <w:r>
        <w:rPr>
          <w:rStyle w:val="Bodytext2"/>
          <w:i/>
          <w:iCs/>
          <w:lang w:val="ru-RU"/>
        </w:rPr>
        <w:t>Biochem. J.</w:t>
      </w:r>
      <w:r>
        <w:rPr>
          <w:rStyle w:val="Bodytext2"/>
          <w:b/>
          <w:bCs/>
          <w:lang w:val="ru-RU"/>
        </w:rPr>
        <w:t xml:space="preserve"> 2020</w:t>
      </w:r>
      <w:r>
        <w:rPr>
          <w:rStyle w:val="Bodytext2"/>
          <w:lang w:val="ru-RU"/>
        </w:rPr>
        <w:t xml:space="preserve">, </w:t>
      </w:r>
      <w:r>
        <w:rPr>
          <w:rStyle w:val="Bodytext2"/>
          <w:i/>
          <w:iCs/>
          <w:lang w:val="ru-RU"/>
        </w:rPr>
        <w:t>477</w:t>
      </w:r>
      <w:r>
        <w:rPr>
          <w:rStyle w:val="Bodytext2"/>
          <w:lang w:val="ru-RU"/>
        </w:rPr>
        <w:t xml:space="preserve">, 1923–1937. </w:t>
      </w:r>
      <w:hyperlink r:id="rId104"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105" w:history="1">
        <w:r>
          <w:rPr>
            <w:rStyle w:val="Bodytext2"/>
            <w:lang w:val="ru-RU"/>
          </w:rPr>
          <w:t>[</w:t>
        </w:r>
        <w:r>
          <w:rPr>
            <w:rStyle w:val="Bodytext2"/>
            <w:color w:val="0875B7"/>
            <w:lang w:val="ru-RU"/>
          </w:rPr>
          <w:t>PubMed</w:t>
        </w:r>
        <w:r>
          <w:rPr>
            <w:rStyle w:val="Bodytext2"/>
            <w:lang w:val="ru-RU"/>
          </w:rPr>
          <w:t>]</w:t>
        </w:r>
        <w:bookmarkEnd w:id="41"/>
      </w:hyperlink>
    </w:p>
    <w:p w14:paraId="3706D4CE" w14:textId="77777777" w:rsidR="00D567C0" w:rsidRDefault="00F96AE2">
      <w:pPr>
        <w:pStyle w:val="Bodytext20"/>
        <w:numPr>
          <w:ilvl w:val="0"/>
          <w:numId w:val="3"/>
        </w:numPr>
        <w:tabs>
          <w:tab w:val="left" w:pos="422"/>
        </w:tabs>
        <w:jc w:val="both"/>
      </w:pPr>
      <w:bookmarkStart w:id="42" w:name="bookmark62"/>
      <w:r w:rsidRPr="00CE5466">
        <w:rPr>
          <w:rStyle w:val="Bodytext2"/>
        </w:rPr>
        <w:t xml:space="preserve">Blomstrand, H.; Scheibling, U.; Bratthäll, C.; Green, H.; Elander, N.O. Real world evidence on gemcitabine and nab-paclitaxel combination chemotherapy in advanced pancreatic cancer. </w:t>
      </w:r>
      <w:r>
        <w:rPr>
          <w:rStyle w:val="Bodytext2"/>
          <w:i/>
          <w:iCs/>
          <w:lang w:val="ru-RU"/>
        </w:rPr>
        <w:t>BMC Cancer</w:t>
      </w:r>
      <w:r>
        <w:rPr>
          <w:rStyle w:val="Bodytext2"/>
          <w:b/>
          <w:bCs/>
          <w:lang w:val="ru-RU"/>
        </w:rPr>
        <w:t xml:space="preserve"> 2019</w:t>
      </w:r>
      <w:r>
        <w:rPr>
          <w:rStyle w:val="Bodytext2"/>
          <w:lang w:val="ru-RU"/>
        </w:rPr>
        <w:t xml:space="preserve">, </w:t>
      </w:r>
      <w:r>
        <w:rPr>
          <w:rStyle w:val="Bodytext2"/>
          <w:i/>
          <w:iCs/>
          <w:lang w:val="ru-RU"/>
        </w:rPr>
        <w:t>19</w:t>
      </w:r>
      <w:r>
        <w:rPr>
          <w:rStyle w:val="Bodytext2"/>
          <w:lang w:val="ru-RU"/>
        </w:rPr>
        <w:t xml:space="preserve">, 40. </w:t>
      </w:r>
      <w:hyperlink r:id="rId106"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107" w:history="1">
        <w:r>
          <w:rPr>
            <w:rStyle w:val="Bodytext2"/>
            <w:lang w:val="ru-RU"/>
          </w:rPr>
          <w:t>[</w:t>
        </w:r>
        <w:r>
          <w:rPr>
            <w:rStyle w:val="Bodytext2"/>
            <w:color w:val="0875B7"/>
            <w:lang w:val="ru-RU"/>
          </w:rPr>
          <w:t>PubMed</w:t>
        </w:r>
        <w:r>
          <w:rPr>
            <w:rStyle w:val="Bodytext2"/>
            <w:lang w:val="ru-RU"/>
          </w:rPr>
          <w:t>]</w:t>
        </w:r>
        <w:bookmarkEnd w:id="42"/>
      </w:hyperlink>
    </w:p>
    <w:p w14:paraId="1C1EA680" w14:textId="77777777" w:rsidR="00D567C0" w:rsidRDefault="00F96AE2">
      <w:pPr>
        <w:pStyle w:val="Bodytext20"/>
        <w:numPr>
          <w:ilvl w:val="0"/>
          <w:numId w:val="3"/>
        </w:numPr>
        <w:tabs>
          <w:tab w:val="left" w:pos="422"/>
        </w:tabs>
        <w:jc w:val="both"/>
      </w:pPr>
      <w:r w:rsidRPr="00CE5466">
        <w:rPr>
          <w:rStyle w:val="Bodytext2"/>
        </w:rPr>
        <w:t xml:space="preserve">Jin, J.; Teng, C.; Li, T. Combination therapy versus gemcitabine monotherapy in the treatment of elderly pancreatic cancer: A meta-analysis of randomized controlled trials. </w:t>
      </w:r>
      <w:r>
        <w:rPr>
          <w:rStyle w:val="Bodytext2"/>
          <w:i/>
          <w:iCs/>
          <w:lang w:val="ru-RU"/>
        </w:rPr>
        <w:t>Drug Des. Dev. Ther.</w:t>
      </w:r>
      <w:r>
        <w:rPr>
          <w:rStyle w:val="Bodytext2"/>
          <w:b/>
          <w:bCs/>
          <w:lang w:val="ru-RU"/>
        </w:rPr>
        <w:t xml:space="preserve"> 2018</w:t>
      </w:r>
      <w:r>
        <w:rPr>
          <w:rStyle w:val="Bodytext2"/>
          <w:lang w:val="ru-RU"/>
        </w:rPr>
        <w:t xml:space="preserve">, </w:t>
      </w:r>
      <w:r>
        <w:rPr>
          <w:rStyle w:val="Bodytext2"/>
          <w:i/>
          <w:iCs/>
          <w:lang w:val="ru-RU"/>
        </w:rPr>
        <w:t>12</w:t>
      </w:r>
      <w:r>
        <w:rPr>
          <w:rStyle w:val="Bodytext2"/>
          <w:lang w:val="ru-RU"/>
        </w:rPr>
        <w:t xml:space="preserve">, 475. </w:t>
      </w:r>
      <w:hyperlink r:id="rId108"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109" w:history="1">
        <w:r>
          <w:rPr>
            <w:rStyle w:val="Bodytext2"/>
            <w:lang w:val="ru-RU"/>
          </w:rPr>
          <w:t>[</w:t>
        </w:r>
        <w:r>
          <w:rPr>
            <w:rStyle w:val="Bodytext2"/>
            <w:color w:val="0875B7"/>
            <w:lang w:val="ru-RU"/>
          </w:rPr>
          <w:t>PubMed</w:t>
        </w:r>
        <w:r>
          <w:rPr>
            <w:rStyle w:val="Bodytext2"/>
            <w:lang w:val="ru-RU"/>
          </w:rPr>
          <w:t>]</w:t>
        </w:r>
      </w:hyperlink>
    </w:p>
    <w:p w14:paraId="5EE630CC" w14:textId="77777777" w:rsidR="00D567C0" w:rsidRDefault="00F96AE2">
      <w:pPr>
        <w:pStyle w:val="Bodytext20"/>
        <w:numPr>
          <w:ilvl w:val="0"/>
          <w:numId w:val="3"/>
        </w:numPr>
        <w:tabs>
          <w:tab w:val="left" w:pos="422"/>
        </w:tabs>
        <w:jc w:val="both"/>
      </w:pPr>
      <w:r w:rsidRPr="00CE5466">
        <w:rPr>
          <w:rStyle w:val="Bodytext2"/>
        </w:rPr>
        <w:t xml:space="preserve">Huang, D.; Fang, J.; Luo, G. Meta-analysis of gemcitabine and cisplatin combination chemotherapy versus gemcitabine alone for pancreatic cancer. </w:t>
      </w:r>
      <w:r>
        <w:rPr>
          <w:rStyle w:val="Bodytext2"/>
          <w:i/>
          <w:iCs/>
          <w:lang w:val="ru-RU"/>
        </w:rPr>
        <w:t>J. Cancer Res. Ther.</w:t>
      </w:r>
      <w:r>
        <w:rPr>
          <w:rStyle w:val="Bodytext2"/>
          <w:b/>
          <w:bCs/>
          <w:lang w:val="ru-RU"/>
        </w:rPr>
        <w:t xml:space="preserve"> 2016</w:t>
      </w:r>
      <w:r>
        <w:rPr>
          <w:rStyle w:val="Bodytext2"/>
          <w:lang w:val="ru-RU"/>
        </w:rPr>
        <w:t xml:space="preserve">, </w:t>
      </w:r>
      <w:r>
        <w:rPr>
          <w:rStyle w:val="Bodytext2"/>
          <w:i/>
          <w:iCs/>
          <w:lang w:val="ru-RU"/>
        </w:rPr>
        <w:t>12</w:t>
      </w:r>
      <w:r>
        <w:rPr>
          <w:rStyle w:val="Bodytext2"/>
          <w:lang w:val="ru-RU"/>
        </w:rPr>
        <w:t>, 104.</w:t>
      </w:r>
    </w:p>
    <w:p w14:paraId="3FEAFA12" w14:textId="77777777" w:rsidR="00D567C0" w:rsidRDefault="00F96AE2">
      <w:pPr>
        <w:pStyle w:val="Bodytext20"/>
        <w:numPr>
          <w:ilvl w:val="0"/>
          <w:numId w:val="3"/>
        </w:numPr>
        <w:tabs>
          <w:tab w:val="left" w:pos="422"/>
        </w:tabs>
        <w:jc w:val="both"/>
      </w:pPr>
      <w:bookmarkStart w:id="43" w:name="bookmark63"/>
      <w:r w:rsidRPr="00CE5466">
        <w:rPr>
          <w:rStyle w:val="Bodytext2"/>
        </w:rPr>
        <w:t xml:space="preserve">Palacio, S.; Hosein, P.J.; Reis, I.; Akunyili, I.I.; Ernani, V.; Pollack, T.; Macintyre, J.; Restrepo, M.H.; Merchan, J.R.; Lima, C.M.R. The nab-paclitaxel/gemcitabine regimen for patients with refractory advanced pancreatic adenocarcinoma. </w:t>
      </w:r>
      <w:r>
        <w:rPr>
          <w:rStyle w:val="Bodytext2"/>
          <w:i/>
          <w:iCs/>
          <w:lang w:val="ru-RU"/>
        </w:rPr>
        <w:t xml:space="preserve">J. Gastrointest. Oncol. </w:t>
      </w:r>
      <w:r>
        <w:rPr>
          <w:rStyle w:val="Bodytext2"/>
          <w:b/>
          <w:bCs/>
          <w:lang w:val="ru-RU"/>
        </w:rPr>
        <w:t>2018</w:t>
      </w:r>
      <w:r>
        <w:rPr>
          <w:rStyle w:val="Bodytext2"/>
          <w:lang w:val="ru-RU"/>
        </w:rPr>
        <w:t xml:space="preserve">, </w:t>
      </w:r>
      <w:r>
        <w:rPr>
          <w:rStyle w:val="Bodytext2"/>
          <w:i/>
          <w:iCs/>
          <w:lang w:val="ru-RU"/>
        </w:rPr>
        <w:t>9</w:t>
      </w:r>
      <w:r>
        <w:rPr>
          <w:rStyle w:val="Bodytext2"/>
          <w:lang w:val="ru-RU"/>
        </w:rPr>
        <w:t xml:space="preserve">, 135. </w:t>
      </w:r>
      <w:hyperlink r:id="rId110" w:history="1">
        <w:r>
          <w:rPr>
            <w:rStyle w:val="Bodytext2"/>
            <w:lang w:val="ru-RU"/>
          </w:rPr>
          <w:t>[</w:t>
        </w:r>
        <w:r>
          <w:rPr>
            <w:rStyle w:val="Bodytext2"/>
            <w:color w:val="0875B7"/>
            <w:lang w:val="ru-RU"/>
          </w:rPr>
          <w:t>CrossRef</w:t>
        </w:r>
        <w:r>
          <w:rPr>
            <w:rStyle w:val="Bodytext2"/>
            <w:lang w:val="ru-RU"/>
          </w:rPr>
          <w:t>]</w:t>
        </w:r>
        <w:bookmarkEnd w:id="43"/>
      </w:hyperlink>
    </w:p>
    <w:p w14:paraId="348856F6" w14:textId="77777777" w:rsidR="00D567C0" w:rsidRDefault="00F96AE2">
      <w:pPr>
        <w:pStyle w:val="Bodytext20"/>
        <w:numPr>
          <w:ilvl w:val="0"/>
          <w:numId w:val="3"/>
        </w:numPr>
        <w:tabs>
          <w:tab w:val="left" w:pos="422"/>
        </w:tabs>
        <w:jc w:val="both"/>
      </w:pPr>
      <w:bookmarkStart w:id="44" w:name="bookmark64"/>
      <w:r w:rsidRPr="00CE5466">
        <w:rPr>
          <w:rStyle w:val="Bodytext2"/>
        </w:rPr>
        <w:t xml:space="preserve">Huanwen, W.; Zhiyong, L.; Xiaohua, S.; Xinyu, R.; Kai, W.; Tonghua, L. Intrinsic chemoresistance to gemcitabine is associated with constitutive and laminin-induced phosphorylation of FAK in pancreatic cancer cell lines. </w:t>
      </w:r>
      <w:r>
        <w:rPr>
          <w:rStyle w:val="Bodytext2"/>
          <w:i/>
          <w:iCs/>
          <w:lang w:val="ru-RU"/>
        </w:rPr>
        <w:t>Mol. Cancer</w:t>
      </w:r>
      <w:r>
        <w:rPr>
          <w:rStyle w:val="Bodytext2"/>
          <w:b/>
          <w:bCs/>
          <w:lang w:val="ru-RU"/>
        </w:rPr>
        <w:t xml:space="preserve"> 2009</w:t>
      </w:r>
      <w:r>
        <w:rPr>
          <w:rStyle w:val="Bodytext2"/>
          <w:lang w:val="ru-RU"/>
        </w:rPr>
        <w:t xml:space="preserve">, </w:t>
      </w:r>
      <w:r>
        <w:rPr>
          <w:rStyle w:val="Bodytext2"/>
          <w:i/>
          <w:iCs/>
          <w:lang w:val="ru-RU"/>
        </w:rPr>
        <w:t>8</w:t>
      </w:r>
      <w:r>
        <w:rPr>
          <w:rStyle w:val="Bodytext2"/>
          <w:lang w:val="ru-RU"/>
        </w:rPr>
        <w:t xml:space="preserve">, 125. </w:t>
      </w:r>
      <w:hyperlink r:id="rId111" w:history="1">
        <w:r>
          <w:rPr>
            <w:rStyle w:val="Bodytext2"/>
            <w:lang w:val="ru-RU"/>
          </w:rPr>
          <w:t>[</w:t>
        </w:r>
        <w:r>
          <w:rPr>
            <w:rStyle w:val="Bodytext2"/>
            <w:color w:val="0875B7"/>
            <w:lang w:val="ru-RU"/>
          </w:rPr>
          <w:t>CrossRef</w:t>
        </w:r>
        <w:r>
          <w:rPr>
            <w:rStyle w:val="Bodytext2"/>
            <w:lang w:val="ru-RU"/>
          </w:rPr>
          <w:t>]</w:t>
        </w:r>
        <w:bookmarkEnd w:id="44"/>
      </w:hyperlink>
    </w:p>
    <w:p w14:paraId="6D7CEDB6" w14:textId="77777777" w:rsidR="00D567C0" w:rsidRDefault="00F96AE2">
      <w:pPr>
        <w:pStyle w:val="Bodytext20"/>
        <w:numPr>
          <w:ilvl w:val="0"/>
          <w:numId w:val="3"/>
        </w:numPr>
        <w:tabs>
          <w:tab w:val="left" w:pos="422"/>
        </w:tabs>
        <w:jc w:val="both"/>
      </w:pPr>
      <w:bookmarkStart w:id="45" w:name="bookmark65"/>
      <w:r w:rsidRPr="00CE5466">
        <w:rPr>
          <w:rStyle w:val="Bodytext2"/>
        </w:rPr>
        <w:t xml:space="preserve">Moon, S.-U.; Kim, J.W.; Sung, J.H.; Kang, M.H.; Kim, S.-H.; Chang, H.; Lee, J.-O.; Kim, Y.J.; Lee, K.-W.; Kim, J.H.; et al. p21- activated kinase 4 (PAK4) as a predictive marker of gemcitabine sensitivity in pancreatic cancer cell lines. </w:t>
      </w:r>
      <w:r>
        <w:rPr>
          <w:rStyle w:val="Bodytext2"/>
          <w:i/>
          <w:iCs/>
          <w:lang w:val="ru-RU"/>
        </w:rPr>
        <w:t>Cancer Res. Treat. Off. J. Korean Cancer Assoc.</w:t>
      </w:r>
      <w:r>
        <w:rPr>
          <w:rStyle w:val="Bodytext2"/>
          <w:b/>
          <w:bCs/>
          <w:lang w:val="ru-RU"/>
        </w:rPr>
        <w:t xml:space="preserve"> 2015</w:t>
      </w:r>
      <w:r>
        <w:rPr>
          <w:rStyle w:val="Bodytext2"/>
          <w:lang w:val="ru-RU"/>
        </w:rPr>
        <w:t xml:space="preserve">, </w:t>
      </w:r>
      <w:r>
        <w:rPr>
          <w:rStyle w:val="Bodytext2"/>
          <w:i/>
          <w:iCs/>
          <w:lang w:val="ru-RU"/>
        </w:rPr>
        <w:t>47</w:t>
      </w:r>
      <w:r>
        <w:rPr>
          <w:rStyle w:val="Bodytext2"/>
          <w:lang w:val="ru-RU"/>
        </w:rPr>
        <w:t xml:space="preserve">, 501. </w:t>
      </w:r>
      <w:hyperlink r:id="rId112" w:history="1">
        <w:r>
          <w:rPr>
            <w:rStyle w:val="Bodytext2"/>
            <w:lang w:val="ru-RU"/>
          </w:rPr>
          <w:t>[</w:t>
        </w:r>
        <w:r>
          <w:rPr>
            <w:rStyle w:val="Bodytext2"/>
            <w:color w:val="0875B7"/>
            <w:lang w:val="ru-RU"/>
          </w:rPr>
          <w:t>CrossRef</w:t>
        </w:r>
        <w:r>
          <w:rPr>
            <w:rStyle w:val="Bodytext2"/>
            <w:lang w:val="ru-RU"/>
          </w:rPr>
          <w:t>]</w:t>
        </w:r>
        <w:bookmarkEnd w:id="45"/>
      </w:hyperlink>
    </w:p>
    <w:p w14:paraId="6CB850DB" w14:textId="77777777" w:rsidR="00D567C0" w:rsidRDefault="00F96AE2">
      <w:pPr>
        <w:pStyle w:val="Bodytext20"/>
        <w:numPr>
          <w:ilvl w:val="0"/>
          <w:numId w:val="3"/>
        </w:numPr>
        <w:tabs>
          <w:tab w:val="left" w:pos="422"/>
        </w:tabs>
        <w:ind w:left="0" w:firstLine="0"/>
        <w:jc w:val="both"/>
      </w:pPr>
      <w:bookmarkStart w:id="46" w:name="bookmark66"/>
      <w:r w:rsidRPr="00CE5466">
        <w:rPr>
          <w:rStyle w:val="Bodytext2"/>
        </w:rPr>
        <w:t xml:space="preserve">Bott, A.J.; Maimouni, S.; Zong, W.-X. The pleiotropic effects of glutamine metabolism in cancer. </w:t>
      </w:r>
      <w:r>
        <w:rPr>
          <w:rStyle w:val="Bodytext2"/>
          <w:i/>
          <w:iCs/>
          <w:lang w:val="ru-RU"/>
        </w:rPr>
        <w:t>Cancers</w:t>
      </w:r>
      <w:r>
        <w:rPr>
          <w:rStyle w:val="Bodytext2"/>
          <w:b/>
          <w:bCs/>
          <w:lang w:val="ru-RU"/>
        </w:rPr>
        <w:t xml:space="preserve"> 2019</w:t>
      </w:r>
      <w:r>
        <w:rPr>
          <w:rStyle w:val="Bodytext2"/>
          <w:lang w:val="ru-RU"/>
        </w:rPr>
        <w:t xml:space="preserve">, </w:t>
      </w:r>
      <w:r>
        <w:rPr>
          <w:rStyle w:val="Bodytext2"/>
          <w:i/>
          <w:iCs/>
          <w:lang w:val="ru-RU"/>
        </w:rPr>
        <w:t>11</w:t>
      </w:r>
      <w:r>
        <w:rPr>
          <w:rStyle w:val="Bodytext2"/>
          <w:lang w:val="ru-RU"/>
        </w:rPr>
        <w:t xml:space="preserve">, 770. </w:t>
      </w:r>
      <w:hyperlink r:id="rId113" w:history="1">
        <w:r>
          <w:rPr>
            <w:rStyle w:val="Bodytext2"/>
            <w:lang w:val="ru-RU"/>
          </w:rPr>
          <w:t>[</w:t>
        </w:r>
        <w:r>
          <w:rPr>
            <w:rStyle w:val="Bodytext2"/>
            <w:color w:val="0875B7"/>
            <w:lang w:val="ru-RU"/>
          </w:rPr>
          <w:t>CrossRef</w:t>
        </w:r>
        <w:r>
          <w:rPr>
            <w:rStyle w:val="Bodytext2"/>
            <w:lang w:val="ru-RU"/>
          </w:rPr>
          <w:t>]</w:t>
        </w:r>
        <w:bookmarkEnd w:id="46"/>
      </w:hyperlink>
    </w:p>
    <w:p w14:paraId="7602D791" w14:textId="77777777" w:rsidR="00D567C0" w:rsidRDefault="00F96AE2">
      <w:pPr>
        <w:pStyle w:val="Bodytext20"/>
        <w:numPr>
          <w:ilvl w:val="0"/>
          <w:numId w:val="3"/>
        </w:numPr>
        <w:tabs>
          <w:tab w:val="left" w:pos="422"/>
        </w:tabs>
        <w:jc w:val="both"/>
      </w:pPr>
      <w:r w:rsidRPr="00CE5466">
        <w:rPr>
          <w:rStyle w:val="Bodytext2"/>
        </w:rPr>
        <w:t xml:space="preserve">Altman, B.J.; Stine, Z.E.; Dang, C.V. From Krebs to clinic: Glutamine metabolism to cancer therapy. </w:t>
      </w:r>
      <w:r>
        <w:rPr>
          <w:rStyle w:val="Bodytext2"/>
          <w:i/>
          <w:iCs/>
          <w:lang w:val="ru-RU"/>
        </w:rPr>
        <w:t>Nat. Rev. Cancer</w:t>
      </w:r>
      <w:r>
        <w:rPr>
          <w:rStyle w:val="Bodytext2"/>
          <w:b/>
          <w:bCs/>
          <w:lang w:val="ru-RU"/>
        </w:rPr>
        <w:t xml:space="preserve"> 2016</w:t>
      </w:r>
      <w:r>
        <w:rPr>
          <w:rStyle w:val="Bodytext2"/>
          <w:lang w:val="ru-RU"/>
        </w:rPr>
        <w:t xml:space="preserve">, </w:t>
      </w:r>
      <w:r>
        <w:rPr>
          <w:rStyle w:val="Bodytext2"/>
          <w:i/>
          <w:iCs/>
          <w:lang w:val="ru-RU"/>
        </w:rPr>
        <w:t>16</w:t>
      </w:r>
      <w:r>
        <w:rPr>
          <w:rStyle w:val="Bodytext2"/>
          <w:lang w:val="ru-RU"/>
        </w:rPr>
        <w:t xml:space="preserve">, 619. </w:t>
      </w:r>
      <w:hyperlink r:id="rId114" w:history="1">
        <w:r>
          <w:rPr>
            <w:rStyle w:val="Bodytext2"/>
            <w:lang w:val="ru-RU"/>
          </w:rPr>
          <w:t>[</w:t>
        </w:r>
        <w:r>
          <w:rPr>
            <w:rStyle w:val="Bodytext2"/>
            <w:color w:val="0875B7"/>
            <w:lang w:val="ru-RU"/>
          </w:rPr>
          <w:t>CrossRef</w:t>
        </w:r>
        <w:r>
          <w:rPr>
            <w:rStyle w:val="Bodytext2"/>
            <w:lang w:val="ru-RU"/>
          </w:rPr>
          <w:t>]</w:t>
        </w:r>
      </w:hyperlink>
    </w:p>
    <w:p w14:paraId="6614D92C" w14:textId="77777777" w:rsidR="00D567C0" w:rsidRDefault="00F96AE2">
      <w:pPr>
        <w:pStyle w:val="Bodytext20"/>
        <w:numPr>
          <w:ilvl w:val="0"/>
          <w:numId w:val="3"/>
        </w:numPr>
        <w:tabs>
          <w:tab w:val="left" w:pos="422"/>
        </w:tabs>
        <w:jc w:val="both"/>
      </w:pPr>
      <w:r w:rsidRPr="00CE5466">
        <w:rPr>
          <w:rStyle w:val="Bodytext2"/>
        </w:rPr>
        <w:t xml:space="preserve">Yang, L.; Venneti, S.; Nagrath, D. Glutaminolysis: A hallmark of cancer metabolism. </w:t>
      </w:r>
      <w:r>
        <w:rPr>
          <w:rStyle w:val="Bodytext2"/>
          <w:i/>
          <w:iCs/>
          <w:lang w:val="ru-RU"/>
        </w:rPr>
        <w:t>Annu. Rev. Biomed. Eng.</w:t>
      </w:r>
      <w:r>
        <w:rPr>
          <w:rStyle w:val="Bodytext2"/>
          <w:b/>
          <w:bCs/>
          <w:lang w:val="ru-RU"/>
        </w:rPr>
        <w:t xml:space="preserve"> 2017</w:t>
      </w:r>
      <w:r>
        <w:rPr>
          <w:rStyle w:val="Bodytext2"/>
          <w:lang w:val="ru-RU"/>
        </w:rPr>
        <w:t xml:space="preserve">, </w:t>
      </w:r>
      <w:r>
        <w:rPr>
          <w:rStyle w:val="Bodytext2"/>
          <w:i/>
          <w:iCs/>
          <w:lang w:val="ru-RU"/>
        </w:rPr>
        <w:t>19</w:t>
      </w:r>
      <w:r>
        <w:rPr>
          <w:rStyle w:val="Bodytext2"/>
          <w:lang w:val="ru-RU"/>
        </w:rPr>
        <w:t xml:space="preserve">, 163–194. </w:t>
      </w:r>
      <w:hyperlink r:id="rId115"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116" w:history="1">
        <w:r>
          <w:rPr>
            <w:rStyle w:val="Bodytext2"/>
            <w:lang w:val="ru-RU"/>
          </w:rPr>
          <w:t>[</w:t>
        </w:r>
        <w:r>
          <w:rPr>
            <w:rStyle w:val="Bodytext2"/>
            <w:color w:val="0875B7"/>
            <w:lang w:val="ru-RU"/>
          </w:rPr>
          <w:t>PubMed</w:t>
        </w:r>
        <w:r>
          <w:rPr>
            <w:rStyle w:val="Bodytext2"/>
            <w:lang w:val="ru-RU"/>
          </w:rPr>
          <w:t>]</w:t>
        </w:r>
      </w:hyperlink>
    </w:p>
    <w:p w14:paraId="48DC64CB" w14:textId="77777777" w:rsidR="00D567C0" w:rsidRDefault="00F96AE2">
      <w:pPr>
        <w:pStyle w:val="Bodytext20"/>
        <w:numPr>
          <w:ilvl w:val="0"/>
          <w:numId w:val="3"/>
        </w:numPr>
        <w:tabs>
          <w:tab w:val="left" w:pos="422"/>
        </w:tabs>
        <w:jc w:val="both"/>
      </w:pPr>
      <w:bookmarkStart w:id="47" w:name="bookmark67"/>
      <w:r w:rsidRPr="00CE5466">
        <w:rPr>
          <w:rStyle w:val="Bodytext2"/>
        </w:rPr>
        <w:t xml:space="preserve">Michalak, K.P.; Mac´ kowska-Ke˛ dziora, A.; Sobolewski, B.; Woz´ niak, P. Key roles of glutamine pathways in reprogramming the cancer metabolism. </w:t>
      </w:r>
      <w:r>
        <w:rPr>
          <w:rStyle w:val="Bodytext2"/>
          <w:i/>
          <w:iCs/>
          <w:lang w:val="ru-RU"/>
        </w:rPr>
        <w:t>Oxidative Med. Cell. Longev.</w:t>
      </w:r>
      <w:r>
        <w:rPr>
          <w:rStyle w:val="Bodytext2"/>
          <w:b/>
          <w:bCs/>
          <w:lang w:val="ru-RU"/>
        </w:rPr>
        <w:t xml:space="preserve"> 2015</w:t>
      </w:r>
      <w:r>
        <w:rPr>
          <w:rStyle w:val="Bodytext2"/>
          <w:lang w:val="ru-RU"/>
        </w:rPr>
        <w:t xml:space="preserve">, </w:t>
      </w:r>
      <w:r>
        <w:rPr>
          <w:rStyle w:val="Bodytext2"/>
          <w:i/>
          <w:iCs/>
          <w:lang w:val="ru-RU"/>
        </w:rPr>
        <w:t>2015</w:t>
      </w:r>
      <w:r>
        <w:rPr>
          <w:rStyle w:val="Bodytext2"/>
          <w:lang w:val="ru-RU"/>
        </w:rPr>
        <w:t xml:space="preserve">, 964321. </w:t>
      </w:r>
      <w:hyperlink r:id="rId117"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118" w:history="1">
        <w:r>
          <w:rPr>
            <w:rStyle w:val="Bodytext2"/>
            <w:lang w:val="ru-RU"/>
          </w:rPr>
          <w:t>[</w:t>
        </w:r>
        <w:r>
          <w:rPr>
            <w:rStyle w:val="Bodytext2"/>
            <w:color w:val="0875B7"/>
            <w:lang w:val="ru-RU"/>
          </w:rPr>
          <w:t>PubMed</w:t>
        </w:r>
        <w:r>
          <w:rPr>
            <w:rStyle w:val="Bodytext2"/>
            <w:lang w:val="ru-RU"/>
          </w:rPr>
          <w:t>]</w:t>
        </w:r>
        <w:bookmarkEnd w:id="47"/>
      </w:hyperlink>
    </w:p>
    <w:p w14:paraId="4A13AA98" w14:textId="77777777" w:rsidR="00D567C0" w:rsidRDefault="00F96AE2">
      <w:pPr>
        <w:pStyle w:val="Bodytext20"/>
        <w:numPr>
          <w:ilvl w:val="0"/>
          <w:numId w:val="3"/>
        </w:numPr>
        <w:tabs>
          <w:tab w:val="left" w:pos="422"/>
        </w:tabs>
        <w:jc w:val="both"/>
      </w:pPr>
      <w:bookmarkStart w:id="48" w:name="bookmark68"/>
      <w:r w:rsidRPr="00CE5466">
        <w:rPr>
          <w:rStyle w:val="Bodytext2"/>
        </w:rPr>
        <w:t>Sikder, M.O.; Sivaprakasam, S.; Brown, T.P.; Thangaraju, M.; Bhutia, Y.D.; Ganapathy, V. SLC6A14, a Na</w:t>
      </w:r>
      <w:r w:rsidRPr="00CE5466">
        <w:rPr>
          <w:rStyle w:val="Bodytext2"/>
          <w:vertAlign w:val="superscript"/>
        </w:rPr>
        <w:t>+</w:t>
      </w:r>
      <w:r w:rsidRPr="00CE5466">
        <w:rPr>
          <w:rStyle w:val="Bodytext2"/>
        </w:rPr>
        <w:t>/Cl</w:t>
      </w:r>
      <w:r w:rsidRPr="00CE5466">
        <w:rPr>
          <w:rStyle w:val="Bodytext2"/>
          <w:sz w:val="12"/>
          <w:szCs w:val="12"/>
          <w:vertAlign w:val="superscript"/>
        </w:rPr>
        <w:t>-</w:t>
      </w:r>
      <w:r w:rsidRPr="00CE5466">
        <w:rPr>
          <w:rStyle w:val="Bodytext2"/>
        </w:rPr>
        <w:t xml:space="preserve">-coupled amino acid transporter, functions as a tumor promoter in colon and is a target for Wnt signaling. </w:t>
      </w:r>
      <w:r>
        <w:rPr>
          <w:rStyle w:val="Bodytext2"/>
          <w:i/>
          <w:iCs/>
          <w:lang w:val="ru-RU"/>
        </w:rPr>
        <w:t>Biochem. J.</w:t>
      </w:r>
      <w:r>
        <w:rPr>
          <w:rStyle w:val="Bodytext2"/>
          <w:b/>
          <w:bCs/>
          <w:lang w:val="ru-RU"/>
        </w:rPr>
        <w:t xml:space="preserve"> 2020</w:t>
      </w:r>
      <w:r>
        <w:rPr>
          <w:rStyle w:val="Bodytext2"/>
          <w:lang w:val="ru-RU"/>
        </w:rPr>
        <w:t xml:space="preserve">, </w:t>
      </w:r>
      <w:r>
        <w:rPr>
          <w:rStyle w:val="Bodytext2"/>
          <w:i/>
          <w:iCs/>
          <w:lang w:val="ru-RU"/>
        </w:rPr>
        <w:t>477</w:t>
      </w:r>
      <w:r>
        <w:rPr>
          <w:rStyle w:val="Bodytext2"/>
          <w:lang w:val="ru-RU"/>
        </w:rPr>
        <w:t xml:space="preserve">, 1409–1425. </w:t>
      </w:r>
      <w:hyperlink r:id="rId119"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120" w:history="1">
        <w:r>
          <w:rPr>
            <w:rStyle w:val="Bodytext2"/>
            <w:lang w:val="ru-RU"/>
          </w:rPr>
          <w:t>[</w:t>
        </w:r>
        <w:r>
          <w:rPr>
            <w:rStyle w:val="Bodytext2"/>
            <w:color w:val="0875B7"/>
            <w:lang w:val="ru-RU"/>
          </w:rPr>
          <w:t>PubMed</w:t>
        </w:r>
        <w:r>
          <w:rPr>
            <w:rStyle w:val="Bodytext2"/>
            <w:lang w:val="ru-RU"/>
          </w:rPr>
          <w:t>]</w:t>
        </w:r>
        <w:bookmarkEnd w:id="48"/>
      </w:hyperlink>
    </w:p>
    <w:p w14:paraId="6F8463CE" w14:textId="77777777" w:rsidR="00D567C0" w:rsidRDefault="00F96AE2">
      <w:pPr>
        <w:pStyle w:val="Bodytext20"/>
        <w:numPr>
          <w:ilvl w:val="0"/>
          <w:numId w:val="3"/>
        </w:numPr>
        <w:tabs>
          <w:tab w:val="left" w:pos="422"/>
        </w:tabs>
        <w:jc w:val="both"/>
      </w:pPr>
      <w:r w:rsidRPr="00CE5466">
        <w:rPr>
          <w:rStyle w:val="Bodytext2"/>
        </w:rPr>
        <w:t>Sikder, M.O.F.; Yang, S.; Ganapathy, V.; Bhutia, Y.D. The Na</w:t>
      </w:r>
      <w:r w:rsidRPr="00CE5466">
        <w:rPr>
          <w:rStyle w:val="Bodytext2"/>
          <w:vertAlign w:val="superscript"/>
        </w:rPr>
        <w:t>+</w:t>
      </w:r>
      <w:r w:rsidRPr="00CE5466">
        <w:rPr>
          <w:rStyle w:val="Bodytext2"/>
        </w:rPr>
        <w:t>/Cl</w:t>
      </w:r>
      <w:r w:rsidRPr="00CE5466">
        <w:rPr>
          <w:rStyle w:val="Bodytext2"/>
          <w:sz w:val="12"/>
          <w:szCs w:val="12"/>
          <w:vertAlign w:val="superscript"/>
        </w:rPr>
        <w:t>-</w:t>
      </w:r>
      <w:r w:rsidRPr="00CE5466">
        <w:rPr>
          <w:rStyle w:val="Bodytext2"/>
        </w:rPr>
        <w:t xml:space="preserve">-coupled, broad-specific, amino acid transporter SLC6A14 (ATB 0,+): Emerging roles in multiple diseases and therapeutic potential for treatment and diagnosis. </w:t>
      </w:r>
      <w:r>
        <w:rPr>
          <w:rStyle w:val="Bodytext2"/>
          <w:i/>
          <w:iCs/>
          <w:lang w:val="ru-RU"/>
        </w:rPr>
        <w:t>AAPS J.</w:t>
      </w:r>
      <w:r>
        <w:rPr>
          <w:rStyle w:val="Bodytext2"/>
          <w:b/>
          <w:bCs/>
          <w:lang w:val="ru-RU"/>
        </w:rPr>
        <w:t xml:space="preserve"> 2018</w:t>
      </w:r>
      <w:r>
        <w:rPr>
          <w:rStyle w:val="Bodytext2"/>
          <w:lang w:val="ru-RU"/>
        </w:rPr>
        <w:t xml:space="preserve">, </w:t>
      </w:r>
      <w:r>
        <w:rPr>
          <w:rStyle w:val="Bodytext2"/>
          <w:i/>
          <w:iCs/>
          <w:lang w:val="ru-RU"/>
        </w:rPr>
        <w:t>20</w:t>
      </w:r>
      <w:r>
        <w:rPr>
          <w:rStyle w:val="Bodytext2"/>
          <w:lang w:val="ru-RU"/>
        </w:rPr>
        <w:t xml:space="preserve">, 12. </w:t>
      </w:r>
      <w:hyperlink r:id="rId121"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122" w:history="1">
        <w:r>
          <w:rPr>
            <w:rStyle w:val="Bodytext2"/>
            <w:lang w:val="ru-RU"/>
          </w:rPr>
          <w:t>[</w:t>
        </w:r>
        <w:r>
          <w:rPr>
            <w:rStyle w:val="Bodytext2"/>
            <w:color w:val="0875B7"/>
            <w:lang w:val="ru-RU"/>
          </w:rPr>
          <w:t>PubMed</w:t>
        </w:r>
        <w:r>
          <w:rPr>
            <w:rStyle w:val="Bodytext2"/>
            <w:lang w:val="ru-RU"/>
          </w:rPr>
          <w:t>]</w:t>
        </w:r>
      </w:hyperlink>
    </w:p>
    <w:p w14:paraId="44F5C6D4" w14:textId="77777777" w:rsidR="00D567C0" w:rsidRDefault="00F96AE2">
      <w:pPr>
        <w:pStyle w:val="Bodytext20"/>
        <w:numPr>
          <w:ilvl w:val="0"/>
          <w:numId w:val="3"/>
        </w:numPr>
        <w:tabs>
          <w:tab w:val="left" w:pos="422"/>
        </w:tabs>
        <w:jc w:val="both"/>
      </w:pPr>
      <w:bookmarkStart w:id="49" w:name="bookmark69"/>
      <w:r w:rsidRPr="00CE5466">
        <w:rPr>
          <w:rStyle w:val="Bodytext2"/>
        </w:rPr>
        <w:t xml:space="preserve">Babu, E.; Bhutia, Y.D.; Ramachandran, S.; Gnanaprakasam, J.P.; Prasad, P.D.; Thangaraju, M.; Ganapathy, V. Deletion of the amino acid transporter Slc6a14 suppresses tumour growth in spontaneous mouse models of breast cancer. </w:t>
      </w:r>
      <w:r>
        <w:rPr>
          <w:rStyle w:val="Bodytext2"/>
          <w:i/>
          <w:iCs/>
          <w:lang w:val="ru-RU"/>
        </w:rPr>
        <w:t>Biochem. J.</w:t>
      </w:r>
      <w:r>
        <w:rPr>
          <w:rStyle w:val="Bodytext2"/>
          <w:b/>
          <w:bCs/>
          <w:lang w:val="ru-RU"/>
        </w:rPr>
        <w:t xml:space="preserve"> 2015</w:t>
      </w:r>
      <w:r>
        <w:rPr>
          <w:rStyle w:val="Bodytext2"/>
          <w:lang w:val="ru-RU"/>
        </w:rPr>
        <w:t xml:space="preserve">, </w:t>
      </w:r>
      <w:r>
        <w:rPr>
          <w:rStyle w:val="Bodytext2"/>
          <w:i/>
          <w:iCs/>
          <w:lang w:val="ru-RU"/>
        </w:rPr>
        <w:t>469</w:t>
      </w:r>
      <w:r>
        <w:rPr>
          <w:rStyle w:val="Bodytext2"/>
          <w:lang w:val="ru-RU"/>
        </w:rPr>
        <w:t xml:space="preserve">, 17–23. </w:t>
      </w:r>
      <w:hyperlink r:id="rId123" w:history="1">
        <w:r>
          <w:rPr>
            <w:rStyle w:val="Bodytext2"/>
            <w:lang w:val="ru-RU"/>
          </w:rPr>
          <w:t>[</w:t>
        </w:r>
        <w:r>
          <w:rPr>
            <w:rStyle w:val="Bodytext2"/>
            <w:color w:val="0875B7"/>
            <w:lang w:val="ru-RU"/>
          </w:rPr>
          <w:t>CrossRef</w:t>
        </w:r>
        <w:r>
          <w:rPr>
            <w:rStyle w:val="Bodytext2"/>
            <w:lang w:val="ru-RU"/>
          </w:rPr>
          <w:t>]</w:t>
        </w:r>
      </w:hyperlink>
      <w:r>
        <w:rPr>
          <w:rStyle w:val="Bodytext2"/>
          <w:lang w:val="ru-RU"/>
        </w:rPr>
        <w:t xml:space="preserve"> </w:t>
      </w:r>
      <w:hyperlink r:id="rId124" w:history="1">
        <w:r>
          <w:rPr>
            <w:rStyle w:val="Bodytext2"/>
            <w:lang w:val="ru-RU"/>
          </w:rPr>
          <w:t>[</w:t>
        </w:r>
        <w:r>
          <w:rPr>
            <w:rStyle w:val="Bodytext2"/>
            <w:color w:val="0875B7"/>
            <w:lang w:val="ru-RU"/>
          </w:rPr>
          <w:t>PubMed</w:t>
        </w:r>
        <w:r>
          <w:rPr>
            <w:rStyle w:val="Bodytext2"/>
            <w:lang w:val="ru-RU"/>
          </w:rPr>
          <w:t>]</w:t>
        </w:r>
        <w:bookmarkEnd w:id="49"/>
      </w:hyperlink>
    </w:p>
    <w:sectPr w:rsidR="00D567C0">
      <w:headerReference w:type="even" r:id="rId125"/>
      <w:headerReference w:type="default" r:id="rId126"/>
      <w:footerReference w:type="even" r:id="rId127"/>
      <w:footerReference w:type="default" r:id="rId128"/>
      <w:pgSz w:w="11900" w:h="16840"/>
      <w:pgMar w:top="1748" w:right="660" w:bottom="1326" w:left="6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F8A7" w14:textId="77777777" w:rsidR="00EB0A06" w:rsidRDefault="00EB0A06">
      <w:r>
        <w:separator/>
      </w:r>
    </w:p>
  </w:endnote>
  <w:endnote w:type="continuationSeparator" w:id="0">
    <w:p w14:paraId="592428B8" w14:textId="77777777" w:rsidR="00EB0A06" w:rsidRDefault="00EB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411F" w14:textId="77777777" w:rsidR="00062B98" w:rsidRDefault="00062B98">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FBF3" w14:textId="77777777" w:rsidR="00062B98" w:rsidRDefault="00062B98">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E309" w14:textId="77777777" w:rsidR="00062B98" w:rsidRDefault="00062B98">
    <w:pPr>
      <w:spacing w:line="1" w:lineRule="exact"/>
    </w:pPr>
    <w:r>
      <w:rPr>
        <w:noProof/>
        <w:lang w:val="ru-RU" w:eastAsia="ru-RU" w:bidi="ar-SA"/>
      </w:rPr>
      <mc:AlternateContent>
        <mc:Choice Requires="wps">
          <w:drawing>
            <wp:anchor distT="0" distB="0" distL="0" distR="0" simplePos="0" relativeHeight="251668480" behindDoc="1" locked="0" layoutInCell="1" allowOverlap="1" wp14:anchorId="62D50C8F" wp14:editId="224FBDCA">
              <wp:simplePos x="0" y="0"/>
              <wp:positionH relativeFrom="page">
                <wp:posOffset>452755</wp:posOffset>
              </wp:positionH>
              <wp:positionV relativeFrom="page">
                <wp:posOffset>10348595</wp:posOffset>
              </wp:positionV>
              <wp:extent cx="6644640" cy="109220"/>
              <wp:effectExtent l="0" t="0" r="0" b="0"/>
              <wp:wrapNone/>
              <wp:docPr id="13" name="Shape 13"/>
              <wp:cNvGraphicFramePr/>
              <a:graphic xmlns:a="http://schemas.openxmlformats.org/drawingml/2006/main">
                <a:graphicData uri="http://schemas.microsoft.com/office/word/2010/wordprocessingShape">
                  <wps:wsp>
                    <wps:cNvSpPr txBox="1"/>
                    <wps:spPr>
                      <a:xfrm>
                        <a:off x="0" y="0"/>
                        <a:ext cx="6644640" cy="109220"/>
                      </a:xfrm>
                      <a:prstGeom prst="rect">
                        <a:avLst/>
                      </a:prstGeom>
                      <a:noFill/>
                    </wps:spPr>
                    <wps:txbx>
                      <w:txbxContent>
                        <w:p w14:paraId="2DF7EEFB" w14:textId="77777777" w:rsidR="00062B98" w:rsidRPr="00CE5466" w:rsidRDefault="00062B98">
                          <w:pPr>
                            <w:pStyle w:val="Headerorfooter20"/>
                            <w:tabs>
                              <w:tab w:val="right" w:pos="10464"/>
                            </w:tabs>
                            <w:rPr>
                              <w:color w:val="auto"/>
                              <w:sz w:val="14"/>
                              <w:szCs w:val="14"/>
                            </w:rPr>
                          </w:pPr>
                          <w:r w:rsidRPr="00CE5466">
                            <w:rPr>
                              <w:rStyle w:val="Headerorfooter2"/>
                              <w:rFonts w:ascii="Arial" w:eastAsia="Arial" w:hAnsi="Arial" w:cs="Arial"/>
                              <w:i/>
                              <w:iCs/>
                              <w:color w:val="auto"/>
                              <w:sz w:val="15"/>
                              <w:szCs w:val="15"/>
                            </w:rPr>
                            <w:t>Biomedicines</w:t>
                          </w:r>
                          <w:r w:rsidRPr="00CE5466">
                            <w:rPr>
                              <w:rStyle w:val="Headerorfooter2"/>
                              <w:rFonts w:ascii="Arial" w:eastAsia="Arial" w:hAnsi="Arial" w:cs="Arial"/>
                              <w:b/>
                              <w:bCs/>
                              <w:color w:val="auto"/>
                              <w:sz w:val="14"/>
                              <w:szCs w:val="14"/>
                            </w:rPr>
                            <w:t xml:space="preserve"> 2022</w:t>
                          </w:r>
                          <w:r w:rsidRPr="00CE5466">
                            <w:rPr>
                              <w:rStyle w:val="Headerorfooter2"/>
                              <w:rFonts w:ascii="Arial" w:eastAsia="Arial" w:hAnsi="Arial" w:cs="Arial"/>
                              <w:color w:val="auto"/>
                              <w:sz w:val="14"/>
                              <w:szCs w:val="14"/>
                            </w:rPr>
                            <w:t xml:space="preserve">, </w:t>
                          </w:r>
                          <w:r w:rsidRPr="00CE5466">
                            <w:rPr>
                              <w:rStyle w:val="Headerorfooter2"/>
                              <w:rFonts w:ascii="Arial" w:eastAsia="Arial" w:hAnsi="Arial" w:cs="Arial"/>
                              <w:i/>
                              <w:iCs/>
                              <w:color w:val="auto"/>
                              <w:sz w:val="15"/>
                              <w:szCs w:val="15"/>
                            </w:rPr>
                            <w:t>10</w:t>
                          </w:r>
                          <w:r w:rsidRPr="00CE5466">
                            <w:rPr>
                              <w:rStyle w:val="Headerorfooter2"/>
                              <w:rFonts w:ascii="Arial" w:eastAsia="Arial" w:hAnsi="Arial" w:cs="Arial"/>
                              <w:color w:val="auto"/>
                              <w:sz w:val="14"/>
                              <w:szCs w:val="14"/>
                            </w:rPr>
                            <w:t>, 1113. https://doi.org/10.3390/biomedicines10051113</w:t>
                          </w:r>
                          <w:r w:rsidRPr="00CE5466">
                            <w:rPr>
                              <w:rStyle w:val="Headerorfooter2"/>
                              <w:rFonts w:ascii="Arial" w:eastAsia="Arial" w:hAnsi="Arial" w:cs="Arial"/>
                              <w:color w:val="auto"/>
                              <w:sz w:val="14"/>
                              <w:szCs w:val="14"/>
                            </w:rPr>
                            <w:tab/>
                            <w:t>https://www.mdpi.com/journal/biomedicines</w:t>
                          </w:r>
                        </w:p>
                      </w:txbxContent>
                    </wps:txbx>
                    <wps:bodyPr lIns="0" tIns="0" rIns="0" bIns="0">
                      <a:spAutoFit/>
                    </wps:bodyPr>
                  </wps:wsp>
                </a:graphicData>
              </a:graphic>
            </wp:anchor>
          </w:drawing>
        </mc:Choice>
        <mc:Fallback>
          <w:pict>
            <v:shapetype w14:anchorId="62D50C8F" id="_x0000_t202" coordsize="21600,21600" o:spt="202" path="m,l,21600r21600,l21600,xe">
              <v:stroke joinstyle="miter"/>
              <v:path gradientshapeok="t" o:connecttype="rect"/>
            </v:shapetype>
            <v:shape id="Shape 13" o:spid="_x0000_s1033" type="#_x0000_t202" style="position:absolute;margin-left:35.65pt;margin-top:814.85pt;width:523.2pt;height:8.6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" filled="f" stroked="f">
              <v:textbox style="mso-fit-shape-to-text:t" inset="0,0,0,0">
                <w:txbxContent>
                  <w:p w14:paraId="2DF7EEFB" w14:textId="77777777" w:rsidR="00062B98" w:rsidRPr="00CE5466" w:rsidRDefault="00062B98">
                    <w:pPr>
                      <w:pStyle w:val="Headerorfooter20"/>
                      <w:tabs>
                        <w:tab w:val="right" w:pos="10464"/>
                      </w:tabs>
                      <w:rPr>
                        <w:color w:val="auto"/>
                        <w:sz w:val="14"/>
                        <w:szCs w:val="14"/>
                      </w:rPr>
                    </w:pPr>
                    <w:r w:rsidRPr="00CE5466">
                      <w:rPr>
                        <w:rStyle w:val="Headerorfooter2"/>
                        <w:rFonts w:ascii="Arial" w:eastAsia="Arial" w:hAnsi="Arial" w:cs="Arial"/>
                        <w:i/>
                        <w:iCs/>
                        <w:color w:val="auto"/>
                        <w:sz w:val="15"/>
                        <w:szCs w:val="15"/>
                      </w:rPr>
                      <w:t>Biomedicines</w:t>
                    </w:r>
                    <w:r w:rsidRPr="00CE5466">
                      <w:rPr>
                        <w:rStyle w:val="Headerorfooter2"/>
                        <w:rFonts w:ascii="Arial" w:eastAsia="Arial" w:hAnsi="Arial" w:cs="Arial"/>
                        <w:b/>
                        <w:bCs/>
                        <w:color w:val="auto"/>
                        <w:sz w:val="14"/>
                        <w:szCs w:val="14"/>
                      </w:rPr>
                      <w:t xml:space="preserve"> 2022</w:t>
                    </w:r>
                    <w:r w:rsidRPr="00CE5466">
                      <w:rPr>
                        <w:rStyle w:val="Headerorfooter2"/>
                        <w:rFonts w:ascii="Arial" w:eastAsia="Arial" w:hAnsi="Arial" w:cs="Arial"/>
                        <w:color w:val="auto"/>
                        <w:sz w:val="14"/>
                        <w:szCs w:val="14"/>
                      </w:rPr>
                      <w:t xml:space="preserve">, </w:t>
                    </w:r>
                    <w:r w:rsidRPr="00CE5466">
                      <w:rPr>
                        <w:rStyle w:val="Headerorfooter2"/>
                        <w:rFonts w:ascii="Arial" w:eastAsia="Arial" w:hAnsi="Arial" w:cs="Arial"/>
                        <w:i/>
                        <w:iCs/>
                        <w:color w:val="auto"/>
                        <w:sz w:val="15"/>
                        <w:szCs w:val="15"/>
                      </w:rPr>
                      <w:t>10</w:t>
                    </w:r>
                    <w:r w:rsidRPr="00CE5466">
                      <w:rPr>
                        <w:rStyle w:val="Headerorfooter2"/>
                        <w:rFonts w:ascii="Arial" w:eastAsia="Arial" w:hAnsi="Arial" w:cs="Arial"/>
                        <w:color w:val="auto"/>
                        <w:sz w:val="14"/>
                        <w:szCs w:val="14"/>
                      </w:rPr>
                      <w:t>, 1113. https://doi.org/10.3390/biomedicines10051113</w:t>
                    </w:r>
                    <w:r w:rsidRPr="00CE5466">
                      <w:rPr>
                        <w:rStyle w:val="Headerorfooter2"/>
                        <w:rFonts w:ascii="Arial" w:eastAsia="Arial" w:hAnsi="Arial" w:cs="Arial"/>
                        <w:color w:val="auto"/>
                        <w:sz w:val="14"/>
                        <w:szCs w:val="14"/>
                      </w:rPr>
                      <w:tab/>
                      <w:t>https://www.mdpi.com/journal/biomedicines</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60288" behindDoc="1" locked="0" layoutInCell="1" allowOverlap="1" wp14:anchorId="6830C12D" wp14:editId="316FD089">
              <wp:simplePos x="0" y="0"/>
              <wp:positionH relativeFrom="page">
                <wp:posOffset>449580</wp:posOffset>
              </wp:positionH>
              <wp:positionV relativeFrom="page">
                <wp:posOffset>10269220</wp:posOffset>
              </wp:positionV>
              <wp:extent cx="6653530" cy="0"/>
              <wp:effectExtent l="0" t="0" r="0" b="0"/>
              <wp:wrapNone/>
              <wp:docPr id="15" name="Shape 15"/>
              <wp:cNvGraphicFramePr/>
              <a:graphic xmlns:a="http://schemas.openxmlformats.org/drawingml/2006/main">
                <a:graphicData uri="http://schemas.microsoft.com/office/word/2010/wordprocessingShape">
                  <wps:wsp>
                    <wps:cNvCnPr/>
                    <wps:spPr>
                      <a:xfrm>
                        <a:off x="0" y="0"/>
                        <a:ext cx="6653530" cy="0"/>
                      </a:xfrm>
                      <a:prstGeom prst="straightConnector1">
                        <a:avLst/>
                      </a:prstGeom>
                      <a:ln w="12700"/>
                    </wps:spPr>
                    <wps:bodyPr/>
                  </wps:wsp>
                </a:graphicData>
              </a:graphic>
            </wp:anchor>
          </w:drawing>
        </mc:Choice>
        <mc:Fallback>
          <w:pict>
            <v:shapetype w14:anchorId="694E6F57" id="_x0000_t32" coordsize="21600,21600" o:spt="32" o:oned="t" path="m,l21600,21600e" filled="f">
              <v:path arrowok="t" fillok="f" o:connecttype="none"/>
              <o:lock v:ext="edit" shapetype="t"/>
            </v:shapetype>
            <v:shape id="Shape 15" o:spid="_x0000_s1026" type="#_x0000_t32" style="position:absolute;margin-left:35.4pt;margin-top:808.6pt;width:523.9pt;height:0;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" stroked="f" strokeweight="1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0B91" w14:textId="77777777" w:rsidR="00062B98" w:rsidRDefault="00062B98">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C06" w14:textId="77777777" w:rsidR="00062B98" w:rsidRDefault="00062B9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74C4" w14:textId="77777777" w:rsidR="00EB0A06" w:rsidRDefault="00EB0A06">
      <w:r>
        <w:separator/>
      </w:r>
    </w:p>
  </w:footnote>
  <w:footnote w:type="continuationSeparator" w:id="0">
    <w:p w14:paraId="77C809C6" w14:textId="77777777" w:rsidR="00EB0A06" w:rsidRDefault="00EB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9477" w14:textId="77777777" w:rsidR="00062B98" w:rsidRDefault="00062B98">
    <w:pPr>
      <w:spacing w:line="1" w:lineRule="exact"/>
    </w:pPr>
    <w:r>
      <w:rPr>
        <w:noProof/>
        <w:lang w:val="ru-RU" w:eastAsia="ru-RU" w:bidi="ar-SA"/>
      </w:rPr>
      <mc:AlternateContent>
        <mc:Choice Requires="wps">
          <w:drawing>
            <wp:anchor distT="0" distB="0" distL="0" distR="0" simplePos="0" relativeHeight="251666432" behindDoc="1" locked="0" layoutInCell="1" allowOverlap="1" wp14:anchorId="30AE6157" wp14:editId="2CD917C1">
              <wp:simplePos x="0" y="0"/>
              <wp:positionH relativeFrom="page">
                <wp:posOffset>451485</wp:posOffset>
              </wp:positionH>
              <wp:positionV relativeFrom="page">
                <wp:posOffset>700405</wp:posOffset>
              </wp:positionV>
              <wp:extent cx="6644640" cy="109220"/>
              <wp:effectExtent l="0" t="0" r="0" b="0"/>
              <wp:wrapNone/>
              <wp:docPr id="8" name="Shape 8"/>
              <wp:cNvGraphicFramePr/>
              <a:graphic xmlns:a="http://schemas.openxmlformats.org/drawingml/2006/main">
                <a:graphicData uri="http://schemas.microsoft.com/office/word/2010/wordprocessingShape">
                  <wps:wsp>
                    <wps:cNvSpPr txBox="1"/>
                    <wps:spPr>
                      <a:xfrm>
                        <a:off x="0" y="0"/>
                        <a:ext cx="6644640" cy="109220"/>
                      </a:xfrm>
                      <a:prstGeom prst="rect">
                        <a:avLst/>
                      </a:prstGeom>
                      <a:noFill/>
                    </wps:spPr>
                    <wps:txbx>
                      <w:txbxContent>
                        <w:p w14:paraId="4EFF14CA" w14:textId="77777777" w:rsidR="00062B98" w:rsidRDefault="00062B98">
                          <w:pPr>
                            <w:pStyle w:val="Headerorfooter20"/>
                            <w:tabs>
                              <w:tab w:val="right" w:pos="10464"/>
                            </w:tabs>
                            <w:rPr>
                              <w:sz w:val="14"/>
                              <w:szCs w:val="14"/>
                            </w:rPr>
                          </w:pPr>
                          <w:r>
                            <w:rPr>
                              <w:rStyle w:val="Headerorfooter2"/>
                              <w:rFonts w:ascii="Arial" w:eastAsia="Arial" w:hAnsi="Arial" w:cs="Arial"/>
                              <w:i/>
                              <w:iCs/>
                              <w:sz w:val="15"/>
                              <w:szCs w:val="15"/>
                              <w:lang w:val="ru-RU"/>
                            </w:rPr>
                            <w:t>Biomedicines</w:t>
                          </w:r>
                          <w:r>
                            <w:rPr>
                              <w:rStyle w:val="Headerorfooter2"/>
                              <w:rFonts w:ascii="Arial" w:eastAsia="Arial" w:hAnsi="Arial" w:cs="Arial"/>
                              <w:b/>
                              <w:bCs/>
                              <w:sz w:val="14"/>
                              <w:szCs w:val="14"/>
                              <w:lang w:val="ru-RU"/>
                            </w:rPr>
                            <w:t xml:space="preserve"> 2022</w:t>
                          </w:r>
                          <w:r>
                            <w:rPr>
                              <w:rStyle w:val="Headerorfooter2"/>
                              <w:rFonts w:ascii="Arial" w:eastAsia="Arial" w:hAnsi="Arial" w:cs="Arial"/>
                              <w:sz w:val="14"/>
                              <w:szCs w:val="14"/>
                              <w:lang w:val="ru-RU"/>
                            </w:rPr>
                            <w:t xml:space="preserve">, </w:t>
                          </w:r>
                          <w:r>
                            <w:rPr>
                              <w:rStyle w:val="Headerorfooter2"/>
                              <w:rFonts w:ascii="Arial" w:eastAsia="Arial" w:hAnsi="Arial" w:cs="Arial"/>
                              <w:i/>
                              <w:iCs/>
                              <w:sz w:val="15"/>
                              <w:szCs w:val="15"/>
                              <w:lang w:val="ru-RU"/>
                            </w:rPr>
                            <w:t>10</w:t>
                          </w:r>
                          <w:r>
                            <w:rPr>
                              <w:rStyle w:val="Headerorfooter2"/>
                              <w:rFonts w:ascii="Arial" w:eastAsia="Arial" w:hAnsi="Arial" w:cs="Arial"/>
                              <w:sz w:val="14"/>
                              <w:szCs w:val="14"/>
                              <w:lang w:val="ru-RU"/>
                            </w:rPr>
                            <w:t>, 1113</w:t>
                          </w:r>
                          <w:r>
                            <w:rPr>
                              <w:rStyle w:val="Headerorfooter2"/>
                              <w:rFonts w:ascii="Arial" w:eastAsia="Arial" w:hAnsi="Arial" w:cs="Arial"/>
                              <w:sz w:val="14"/>
                              <w:szCs w:val="14"/>
                              <w:lang w:val="ru-RU"/>
                            </w:rPr>
                            <w:tab/>
                          </w:r>
                          <w:r>
                            <w:fldChar w:fldCharType="begin"/>
                          </w:r>
                          <w:r>
                            <w:rPr>
                              <w:lang w:val="ru-RU"/>
                            </w:rPr>
                            <w:instrText xml:space="preserve"> PAGE \* MERGEFORMAT </w:instrText>
                          </w:r>
                          <w:r>
                            <w:fldChar w:fldCharType="separate"/>
                          </w:r>
                          <w:r w:rsidR="002C66B9" w:rsidRPr="002C66B9">
                            <w:rPr>
                              <w:rStyle w:val="Headerorfooter2"/>
                              <w:rFonts w:ascii="Arial" w:eastAsia="Arial" w:hAnsi="Arial" w:cs="Arial"/>
                              <w:noProof/>
                              <w:sz w:val="14"/>
                              <w:szCs w:val="14"/>
                            </w:rPr>
                            <w:t>6</w:t>
                          </w:r>
                          <w:r>
                            <w:rPr>
                              <w:rStyle w:val="Headerorfooter2"/>
                              <w:rFonts w:ascii="Arial" w:eastAsia="Arial" w:hAnsi="Arial" w:cs="Arial"/>
                              <w:sz w:val="14"/>
                              <w:szCs w:val="14"/>
                            </w:rPr>
                            <w:fldChar w:fldCharType="end"/>
                          </w:r>
                          <w:r>
                            <w:rPr>
                              <w:rStyle w:val="Headerorfooter2"/>
                              <w:rFonts w:ascii="Arial" w:eastAsia="Arial" w:hAnsi="Arial" w:cs="Arial"/>
                              <w:sz w:val="14"/>
                              <w:szCs w:val="14"/>
                              <w:lang w:val="ru-RU"/>
                            </w:rPr>
                            <w:t xml:space="preserve"> из 12</w:t>
                          </w:r>
                        </w:p>
                      </w:txbxContent>
                    </wps:txbx>
                    <wps:bodyPr lIns="0" tIns="0" rIns="0" bIns="0">
                      <a:spAutoFit/>
                    </wps:bodyPr>
                  </wps:wsp>
                </a:graphicData>
              </a:graphic>
            </wp:anchor>
          </w:drawing>
        </mc:Choice>
        <mc:Fallback>
          <w:pict>
            <v:shapetype w14:anchorId="30AE6157" id="_x0000_t202" coordsize="21600,21600" o:spt="202" path="m,l,21600r21600,l21600,xe">
              <v:stroke joinstyle="miter"/>
              <v:path gradientshapeok="t" o:connecttype="rect"/>
            </v:shapetype>
            <v:shape id="Shape 8" o:spid="_x0000_s1030" type="#_x0000_t202" style="position:absolute;margin-left:35.55pt;margin-top:55.15pt;width:523.2pt;height:8.6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" filled="f" stroked="f">
              <v:textbox style="mso-fit-shape-to-text:t" inset="0,0,0,0">
                <w:txbxContent>
                  <w:p w14:paraId="4EFF14CA" w14:textId="77777777" w:rsidR="00062B98" w:rsidRDefault="00062B98">
                    <w:pPr>
                      <w:pStyle w:val="Headerorfooter20"/>
                      <w:tabs>
                        <w:tab w:val="right" w:pos="10464"/>
                      </w:tabs>
                      <w:rPr>
                        <w:sz w:val="14"/>
                        <w:szCs w:val="14"/>
                      </w:rPr>
                    </w:pPr>
                    <w:r>
                      <w:rPr>
                        <w:rStyle w:val="Headerorfooter2"/>
                        <w:rFonts w:ascii="Arial" w:eastAsia="Arial" w:hAnsi="Arial" w:cs="Arial"/>
                        <w:i/>
                        <w:iCs/>
                        <w:sz w:val="15"/>
                        <w:szCs w:val="15"/>
                        <w:lang w:val="ru-RU"/>
                      </w:rPr>
                      <w:t>Biomedicines</w:t>
                    </w:r>
                    <w:r>
                      <w:rPr>
                        <w:rStyle w:val="Headerorfooter2"/>
                        <w:rFonts w:ascii="Arial" w:eastAsia="Arial" w:hAnsi="Arial" w:cs="Arial"/>
                        <w:b/>
                        <w:bCs/>
                        <w:sz w:val="14"/>
                        <w:szCs w:val="14"/>
                        <w:lang w:val="ru-RU"/>
                      </w:rPr>
                      <w:t xml:space="preserve"> 2022</w:t>
                    </w:r>
                    <w:r>
                      <w:rPr>
                        <w:rStyle w:val="Headerorfooter2"/>
                        <w:rFonts w:ascii="Arial" w:eastAsia="Arial" w:hAnsi="Arial" w:cs="Arial"/>
                        <w:sz w:val="14"/>
                        <w:szCs w:val="14"/>
                        <w:lang w:val="ru-RU"/>
                      </w:rPr>
                      <w:t xml:space="preserve">, </w:t>
                    </w:r>
                    <w:r>
                      <w:rPr>
                        <w:rStyle w:val="Headerorfooter2"/>
                        <w:rFonts w:ascii="Arial" w:eastAsia="Arial" w:hAnsi="Arial" w:cs="Arial"/>
                        <w:i/>
                        <w:iCs/>
                        <w:sz w:val="15"/>
                        <w:szCs w:val="15"/>
                        <w:lang w:val="ru-RU"/>
                      </w:rPr>
                      <w:t>10</w:t>
                    </w:r>
                    <w:r>
                      <w:rPr>
                        <w:rStyle w:val="Headerorfooter2"/>
                        <w:rFonts w:ascii="Arial" w:eastAsia="Arial" w:hAnsi="Arial" w:cs="Arial"/>
                        <w:sz w:val="14"/>
                        <w:szCs w:val="14"/>
                        <w:lang w:val="ru-RU"/>
                      </w:rPr>
                      <w:t>, 1113</w:t>
                    </w:r>
                    <w:r>
                      <w:rPr>
                        <w:rStyle w:val="Headerorfooter2"/>
                        <w:rFonts w:ascii="Arial" w:eastAsia="Arial" w:hAnsi="Arial" w:cs="Arial"/>
                        <w:sz w:val="14"/>
                        <w:szCs w:val="14"/>
                        <w:lang w:val="ru-RU"/>
                      </w:rPr>
                      <w:tab/>
                    </w:r>
                    <w:r>
                      <w:fldChar w:fldCharType="begin"/>
                    </w:r>
                    <w:r>
                      <w:rPr>
                        <w:lang w:val="ru-RU"/>
                      </w:rPr>
                      <w:instrText xml:space="preserve"> PAGE \* MERGEFORMAT </w:instrText>
                    </w:r>
                    <w:r>
                      <w:fldChar w:fldCharType="separate"/>
                    </w:r>
                    <w:r w:rsidR="002C66B9" w:rsidRPr="002C66B9">
                      <w:rPr>
                        <w:rStyle w:val="Headerorfooter2"/>
                        <w:rFonts w:ascii="Arial" w:eastAsia="Arial" w:hAnsi="Arial" w:cs="Arial"/>
                        <w:noProof/>
                        <w:sz w:val="14"/>
                        <w:szCs w:val="14"/>
                      </w:rPr>
                      <w:t>6</w:t>
                    </w:r>
                    <w:r>
                      <w:rPr>
                        <w:rStyle w:val="Headerorfooter2"/>
                        <w:rFonts w:ascii="Arial" w:eastAsia="Arial" w:hAnsi="Arial" w:cs="Arial"/>
                        <w:sz w:val="14"/>
                        <w:szCs w:val="14"/>
                      </w:rPr>
                      <w:fldChar w:fldCharType="end"/>
                    </w:r>
                    <w:r>
                      <w:rPr>
                        <w:rStyle w:val="Headerorfooter2"/>
                        <w:rFonts w:ascii="Arial" w:eastAsia="Arial" w:hAnsi="Arial" w:cs="Arial"/>
                        <w:sz w:val="14"/>
                        <w:szCs w:val="14"/>
                        <w:lang w:val="ru-RU"/>
                      </w:rPr>
                      <w:t xml:space="preserve"> из 12</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59264" behindDoc="1" locked="0" layoutInCell="1" allowOverlap="1" wp14:anchorId="1F711617" wp14:editId="50693510">
              <wp:simplePos x="0" y="0"/>
              <wp:positionH relativeFrom="page">
                <wp:posOffset>448310</wp:posOffset>
              </wp:positionH>
              <wp:positionV relativeFrom="page">
                <wp:posOffset>872490</wp:posOffset>
              </wp:positionV>
              <wp:extent cx="6653530" cy="0"/>
              <wp:effectExtent l="0" t="0" r="0" b="0"/>
              <wp:wrapNone/>
              <wp:docPr id="10" name="Shape 10"/>
              <wp:cNvGraphicFramePr/>
              <a:graphic xmlns:a="http://schemas.openxmlformats.org/drawingml/2006/main">
                <a:graphicData uri="http://schemas.microsoft.com/office/word/2010/wordprocessingShape">
                  <wps:wsp>
                    <wps:cNvCnPr/>
                    <wps:spPr>
                      <a:xfrm>
                        <a:off x="0" y="0"/>
                        <a:ext cx="6653530" cy="0"/>
                      </a:xfrm>
                      <a:prstGeom prst="straightConnector1">
                        <a:avLst/>
                      </a:prstGeom>
                      <a:ln w="12700"/>
                    </wps:spPr>
                    <wps:bodyPr/>
                  </wps:wsp>
                </a:graphicData>
              </a:graphic>
            </wp:anchor>
          </w:drawing>
        </mc:Choice>
        <mc:Fallback>
          <w:pict>
            <v:shapetype w14:anchorId="2EE28BF5" id="_x0000_t32" coordsize="21600,21600" o:spt="32" o:oned="t" path="m,l21600,21600e" filled="f">
              <v:path arrowok="t" fillok="f" o:connecttype="none"/>
              <o:lock v:ext="edit" shapetype="t"/>
            </v:shapetype>
            <v:shape id="Shape 10" o:spid="_x0000_s1026" type="#_x0000_t32" style="position:absolute;margin-left:35.3pt;margin-top:68.7pt;width:523.9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" stroked="f" strokeweight="1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463B" w14:textId="77777777" w:rsidR="00062B98" w:rsidRDefault="00062B98">
    <w:pPr>
      <w:spacing w:line="1" w:lineRule="exact"/>
    </w:pPr>
    <w:r>
      <w:rPr>
        <w:noProof/>
        <w:lang w:val="ru-RU" w:eastAsia="ru-RU" w:bidi="ar-SA"/>
      </w:rPr>
      <mc:AlternateContent>
        <mc:Choice Requires="wps">
          <w:drawing>
            <wp:anchor distT="0" distB="0" distL="0" distR="0" simplePos="0" relativeHeight="251664384" behindDoc="1" locked="0" layoutInCell="1" allowOverlap="1" wp14:anchorId="6F25964E" wp14:editId="100412F8">
              <wp:simplePos x="0" y="0"/>
              <wp:positionH relativeFrom="page">
                <wp:posOffset>451485</wp:posOffset>
              </wp:positionH>
              <wp:positionV relativeFrom="page">
                <wp:posOffset>700405</wp:posOffset>
              </wp:positionV>
              <wp:extent cx="6644640" cy="109220"/>
              <wp:effectExtent l="0" t="0" r="0" b="0"/>
              <wp:wrapNone/>
              <wp:docPr id="5" name="Shape 5"/>
              <wp:cNvGraphicFramePr/>
              <a:graphic xmlns:a="http://schemas.openxmlformats.org/drawingml/2006/main">
                <a:graphicData uri="http://schemas.microsoft.com/office/word/2010/wordprocessingShape">
                  <wps:wsp>
                    <wps:cNvSpPr txBox="1"/>
                    <wps:spPr>
                      <a:xfrm>
                        <a:off x="0" y="0"/>
                        <a:ext cx="6644640" cy="109220"/>
                      </a:xfrm>
                      <a:prstGeom prst="rect">
                        <a:avLst/>
                      </a:prstGeom>
                      <a:noFill/>
                    </wps:spPr>
                    <wps:txbx>
                      <w:txbxContent>
                        <w:p w14:paraId="275E111C" w14:textId="77777777" w:rsidR="00062B98" w:rsidRDefault="00062B98">
                          <w:pPr>
                            <w:pStyle w:val="Headerorfooter20"/>
                            <w:tabs>
                              <w:tab w:val="right" w:pos="10464"/>
                            </w:tabs>
                            <w:rPr>
                              <w:sz w:val="14"/>
                              <w:szCs w:val="14"/>
                            </w:rPr>
                          </w:pPr>
                          <w:r>
                            <w:rPr>
                              <w:rStyle w:val="Headerorfooter2"/>
                              <w:rFonts w:ascii="Arial" w:eastAsia="Arial" w:hAnsi="Arial" w:cs="Arial"/>
                              <w:i/>
                              <w:iCs/>
                              <w:sz w:val="15"/>
                              <w:szCs w:val="15"/>
                              <w:lang w:val="ru-RU"/>
                            </w:rPr>
                            <w:t>Biomedicines</w:t>
                          </w:r>
                          <w:r>
                            <w:rPr>
                              <w:rStyle w:val="Headerorfooter2"/>
                              <w:rFonts w:ascii="Arial" w:eastAsia="Arial" w:hAnsi="Arial" w:cs="Arial"/>
                              <w:b/>
                              <w:bCs/>
                              <w:sz w:val="14"/>
                              <w:szCs w:val="14"/>
                              <w:lang w:val="ru-RU"/>
                            </w:rPr>
                            <w:t xml:space="preserve"> 2022</w:t>
                          </w:r>
                          <w:r>
                            <w:rPr>
                              <w:rStyle w:val="Headerorfooter2"/>
                              <w:rFonts w:ascii="Arial" w:eastAsia="Arial" w:hAnsi="Arial" w:cs="Arial"/>
                              <w:sz w:val="14"/>
                              <w:szCs w:val="14"/>
                              <w:lang w:val="ru-RU"/>
                            </w:rPr>
                            <w:t xml:space="preserve">, </w:t>
                          </w:r>
                          <w:r>
                            <w:rPr>
                              <w:rStyle w:val="Headerorfooter2"/>
                              <w:rFonts w:ascii="Arial" w:eastAsia="Arial" w:hAnsi="Arial" w:cs="Arial"/>
                              <w:i/>
                              <w:iCs/>
                              <w:sz w:val="15"/>
                              <w:szCs w:val="15"/>
                              <w:lang w:val="ru-RU"/>
                            </w:rPr>
                            <w:t>10</w:t>
                          </w:r>
                          <w:r>
                            <w:rPr>
                              <w:rStyle w:val="Headerorfooter2"/>
                              <w:rFonts w:ascii="Arial" w:eastAsia="Arial" w:hAnsi="Arial" w:cs="Arial"/>
                              <w:sz w:val="14"/>
                              <w:szCs w:val="14"/>
                              <w:lang w:val="ru-RU"/>
                            </w:rPr>
                            <w:t>, 1113</w:t>
                          </w:r>
                          <w:r>
                            <w:rPr>
                              <w:rStyle w:val="Headerorfooter2"/>
                              <w:rFonts w:ascii="Arial" w:eastAsia="Arial" w:hAnsi="Arial" w:cs="Arial"/>
                              <w:sz w:val="14"/>
                              <w:szCs w:val="14"/>
                              <w:lang w:val="ru-RU"/>
                            </w:rPr>
                            <w:tab/>
                          </w:r>
                          <w:r>
                            <w:fldChar w:fldCharType="begin"/>
                          </w:r>
                          <w:r>
                            <w:rPr>
                              <w:lang w:val="ru-RU"/>
                            </w:rPr>
                            <w:instrText xml:space="preserve"> PAGE \* MERGEFORMAT </w:instrText>
                          </w:r>
                          <w:r>
                            <w:fldChar w:fldCharType="separate"/>
                          </w:r>
                          <w:r w:rsidR="00CB4C59" w:rsidRPr="00CB4C59">
                            <w:rPr>
                              <w:rStyle w:val="Headerorfooter2"/>
                              <w:rFonts w:ascii="Arial" w:eastAsia="Arial" w:hAnsi="Arial" w:cs="Arial"/>
                              <w:noProof/>
                              <w:sz w:val="14"/>
                              <w:szCs w:val="14"/>
                            </w:rPr>
                            <w:t>7</w:t>
                          </w:r>
                          <w:r>
                            <w:rPr>
                              <w:rStyle w:val="Headerorfooter2"/>
                              <w:rFonts w:ascii="Arial" w:eastAsia="Arial" w:hAnsi="Arial" w:cs="Arial"/>
                              <w:sz w:val="14"/>
                              <w:szCs w:val="14"/>
                            </w:rPr>
                            <w:fldChar w:fldCharType="end"/>
                          </w:r>
                          <w:r>
                            <w:rPr>
                              <w:rStyle w:val="Headerorfooter2"/>
                              <w:rFonts w:ascii="Arial" w:eastAsia="Arial" w:hAnsi="Arial" w:cs="Arial"/>
                              <w:sz w:val="14"/>
                              <w:szCs w:val="14"/>
                              <w:lang w:val="ru-RU"/>
                            </w:rPr>
                            <w:t xml:space="preserve"> из 12</w:t>
                          </w:r>
                        </w:p>
                      </w:txbxContent>
                    </wps:txbx>
                    <wps:bodyPr lIns="0" tIns="0" rIns="0" bIns="0">
                      <a:spAutoFit/>
                    </wps:bodyPr>
                  </wps:wsp>
                </a:graphicData>
              </a:graphic>
            </wp:anchor>
          </w:drawing>
        </mc:Choice>
        <mc:Fallback>
          <w:pict>
            <v:shapetype w14:anchorId="6F25964E" id="_x0000_t202" coordsize="21600,21600" o:spt="202" path="m,l,21600r21600,l21600,xe">
              <v:stroke joinstyle="miter"/>
              <v:path gradientshapeok="t" o:connecttype="rect"/>
            </v:shapetype>
            <v:shape id="Shape 5" o:spid="_x0000_s1031" type="#_x0000_t202" style="position:absolute;margin-left:35.55pt;margin-top:55.15pt;width:523.2pt;height:8.6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" filled="f" stroked="f">
              <v:textbox style="mso-fit-shape-to-text:t" inset="0,0,0,0">
                <w:txbxContent>
                  <w:p w14:paraId="275E111C" w14:textId="77777777" w:rsidR="00062B98" w:rsidRDefault="00062B98">
                    <w:pPr>
                      <w:pStyle w:val="Headerorfooter20"/>
                      <w:tabs>
                        <w:tab w:val="right" w:pos="10464"/>
                      </w:tabs>
                      <w:rPr>
                        <w:sz w:val="14"/>
                        <w:szCs w:val="14"/>
                      </w:rPr>
                    </w:pPr>
                    <w:r>
                      <w:rPr>
                        <w:rStyle w:val="Headerorfooter2"/>
                        <w:rFonts w:ascii="Arial" w:eastAsia="Arial" w:hAnsi="Arial" w:cs="Arial"/>
                        <w:i/>
                        <w:iCs/>
                        <w:sz w:val="15"/>
                        <w:szCs w:val="15"/>
                        <w:lang w:val="ru-RU"/>
                      </w:rPr>
                      <w:t>Biomedicines</w:t>
                    </w:r>
                    <w:r>
                      <w:rPr>
                        <w:rStyle w:val="Headerorfooter2"/>
                        <w:rFonts w:ascii="Arial" w:eastAsia="Arial" w:hAnsi="Arial" w:cs="Arial"/>
                        <w:b/>
                        <w:bCs/>
                        <w:sz w:val="14"/>
                        <w:szCs w:val="14"/>
                        <w:lang w:val="ru-RU"/>
                      </w:rPr>
                      <w:t xml:space="preserve"> 2022</w:t>
                    </w:r>
                    <w:r>
                      <w:rPr>
                        <w:rStyle w:val="Headerorfooter2"/>
                        <w:rFonts w:ascii="Arial" w:eastAsia="Arial" w:hAnsi="Arial" w:cs="Arial"/>
                        <w:sz w:val="14"/>
                        <w:szCs w:val="14"/>
                        <w:lang w:val="ru-RU"/>
                      </w:rPr>
                      <w:t xml:space="preserve">, </w:t>
                    </w:r>
                    <w:r>
                      <w:rPr>
                        <w:rStyle w:val="Headerorfooter2"/>
                        <w:rFonts w:ascii="Arial" w:eastAsia="Arial" w:hAnsi="Arial" w:cs="Arial"/>
                        <w:i/>
                        <w:iCs/>
                        <w:sz w:val="15"/>
                        <w:szCs w:val="15"/>
                        <w:lang w:val="ru-RU"/>
                      </w:rPr>
                      <w:t>10</w:t>
                    </w:r>
                    <w:r>
                      <w:rPr>
                        <w:rStyle w:val="Headerorfooter2"/>
                        <w:rFonts w:ascii="Arial" w:eastAsia="Arial" w:hAnsi="Arial" w:cs="Arial"/>
                        <w:sz w:val="14"/>
                        <w:szCs w:val="14"/>
                        <w:lang w:val="ru-RU"/>
                      </w:rPr>
                      <w:t>, 1113</w:t>
                    </w:r>
                    <w:r>
                      <w:rPr>
                        <w:rStyle w:val="Headerorfooter2"/>
                        <w:rFonts w:ascii="Arial" w:eastAsia="Arial" w:hAnsi="Arial" w:cs="Arial"/>
                        <w:sz w:val="14"/>
                        <w:szCs w:val="14"/>
                        <w:lang w:val="ru-RU"/>
                      </w:rPr>
                      <w:tab/>
                    </w:r>
                    <w:r>
                      <w:fldChar w:fldCharType="begin"/>
                    </w:r>
                    <w:r>
                      <w:rPr>
                        <w:lang w:val="ru-RU"/>
                      </w:rPr>
                      <w:instrText xml:space="preserve"> PAGE \* MERGEFORMAT </w:instrText>
                    </w:r>
                    <w:r>
                      <w:fldChar w:fldCharType="separate"/>
                    </w:r>
                    <w:r w:rsidR="00CB4C59" w:rsidRPr="00CB4C59">
                      <w:rPr>
                        <w:rStyle w:val="Headerorfooter2"/>
                        <w:rFonts w:ascii="Arial" w:eastAsia="Arial" w:hAnsi="Arial" w:cs="Arial"/>
                        <w:noProof/>
                        <w:sz w:val="14"/>
                        <w:szCs w:val="14"/>
                      </w:rPr>
                      <w:t>7</w:t>
                    </w:r>
                    <w:r>
                      <w:rPr>
                        <w:rStyle w:val="Headerorfooter2"/>
                        <w:rFonts w:ascii="Arial" w:eastAsia="Arial" w:hAnsi="Arial" w:cs="Arial"/>
                        <w:sz w:val="14"/>
                        <w:szCs w:val="14"/>
                      </w:rPr>
                      <w:fldChar w:fldCharType="end"/>
                    </w:r>
                    <w:r>
                      <w:rPr>
                        <w:rStyle w:val="Headerorfooter2"/>
                        <w:rFonts w:ascii="Arial" w:eastAsia="Arial" w:hAnsi="Arial" w:cs="Arial"/>
                        <w:sz w:val="14"/>
                        <w:szCs w:val="14"/>
                        <w:lang w:val="ru-RU"/>
                      </w:rPr>
                      <w:t xml:space="preserve"> из 12</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58240" behindDoc="1" locked="0" layoutInCell="1" allowOverlap="1" wp14:anchorId="0758657A" wp14:editId="6539A155">
              <wp:simplePos x="0" y="0"/>
              <wp:positionH relativeFrom="page">
                <wp:posOffset>448310</wp:posOffset>
              </wp:positionH>
              <wp:positionV relativeFrom="page">
                <wp:posOffset>872490</wp:posOffset>
              </wp:positionV>
              <wp:extent cx="6653530" cy="0"/>
              <wp:effectExtent l="0" t="0" r="0" b="0"/>
              <wp:wrapNone/>
              <wp:docPr id="7" name="Shape 7"/>
              <wp:cNvGraphicFramePr/>
              <a:graphic xmlns:a="http://schemas.openxmlformats.org/drawingml/2006/main">
                <a:graphicData uri="http://schemas.microsoft.com/office/word/2010/wordprocessingShape">
                  <wps:wsp>
                    <wps:cNvCnPr/>
                    <wps:spPr>
                      <a:xfrm>
                        <a:off x="0" y="0"/>
                        <a:ext cx="6653530" cy="0"/>
                      </a:xfrm>
                      <a:prstGeom prst="straightConnector1">
                        <a:avLst/>
                      </a:prstGeom>
                      <a:ln w="12700"/>
                    </wps:spPr>
                    <wps:bodyPr/>
                  </wps:wsp>
                </a:graphicData>
              </a:graphic>
            </wp:anchor>
          </w:drawing>
        </mc:Choice>
        <mc:Fallback>
          <w:pict>
            <v:shapetype w14:anchorId="0B4BF8B7" id="_x0000_t32" coordsize="21600,21600" o:spt="32" o:oned="t" path="m,l21600,21600e" filled="f">
              <v:path arrowok="t" fillok="f" o:connecttype="none"/>
              <o:lock v:ext="edit" shapetype="t"/>
            </v:shapetype>
            <v:shape id="Shape 7" o:spid="_x0000_s1026" type="#_x0000_t32" style="position:absolute;margin-left:35.3pt;margin-top:68.7pt;width:523.9pt;height:0;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" stroked="f" strokeweight="1p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F12D" w14:textId="77777777" w:rsidR="00062B98" w:rsidRDefault="00062B98">
    <w:pPr>
      <w:spacing w:line="1" w:lineRule="exact"/>
    </w:pPr>
    <w:r>
      <w:rPr>
        <w:noProof/>
        <w:lang w:val="ru-RU" w:eastAsia="ru-RU" w:bidi="ar-SA"/>
      </w:rPr>
      <mc:AlternateContent>
        <mc:Choice Requires="wps">
          <w:drawing>
            <wp:anchor distT="0" distB="0" distL="0" distR="0" simplePos="0" relativeHeight="251667456" behindDoc="1" locked="0" layoutInCell="1" allowOverlap="1" wp14:anchorId="6EEF1391" wp14:editId="64CE8BC6">
              <wp:simplePos x="0" y="0"/>
              <wp:positionH relativeFrom="page">
                <wp:posOffset>949960</wp:posOffset>
              </wp:positionH>
              <wp:positionV relativeFrom="page">
                <wp:posOffset>756285</wp:posOffset>
              </wp:positionV>
              <wp:extent cx="763270" cy="146050"/>
              <wp:effectExtent l="0" t="0" r="0" b="0"/>
              <wp:wrapNone/>
              <wp:docPr id="11" name="Shape 11"/>
              <wp:cNvGraphicFramePr/>
              <a:graphic xmlns:a="http://schemas.openxmlformats.org/drawingml/2006/main">
                <a:graphicData uri="http://schemas.microsoft.com/office/word/2010/wordprocessingShape">
                  <wps:wsp>
                    <wps:cNvSpPr txBox="1"/>
                    <wps:spPr>
                      <a:xfrm>
                        <a:off x="0" y="0"/>
                        <a:ext cx="763270" cy="146050"/>
                      </a:xfrm>
                      <a:prstGeom prst="rect">
                        <a:avLst/>
                      </a:prstGeom>
                      <a:noFill/>
                    </wps:spPr>
                    <wps:txbx>
                      <w:txbxContent>
                        <w:p w14:paraId="7FAEB971" w14:textId="77777777" w:rsidR="00062B98" w:rsidRDefault="00062B98">
                          <w:pPr>
                            <w:pStyle w:val="Headerorfooter20"/>
                          </w:pPr>
                          <w:r>
                            <w:rPr>
                              <w:rStyle w:val="Headerorfooter2"/>
                              <w:b/>
                              <w:bCs/>
                              <w:i/>
                              <w:iCs/>
                              <w:smallCaps/>
                              <w:color w:val="254A95"/>
                              <w:lang w:val="ru-RU"/>
                            </w:rPr>
                            <w:t>biomedicines</w:t>
                          </w:r>
                        </w:p>
                      </w:txbxContent>
                    </wps:txbx>
                    <wps:bodyPr wrap="none" lIns="0" tIns="0" rIns="0" bIns="0">
                      <a:spAutoFit/>
                    </wps:bodyPr>
                  </wps:wsp>
                </a:graphicData>
              </a:graphic>
            </wp:anchor>
          </w:drawing>
        </mc:Choice>
        <mc:Fallback>
          <w:pict>
            <v:shapetype w14:anchorId="6EEF1391" id="_x0000_t202" coordsize="21600,21600" o:spt="202" path="m,l,21600r21600,l21600,xe">
              <v:stroke joinstyle="miter"/>
              <v:path gradientshapeok="t" o:connecttype="rect"/>
            </v:shapetype>
            <v:shape id="Shape 11" o:spid="_x0000_s1032" type="#_x0000_t202" style="position:absolute;margin-left:74.8pt;margin-top:59.55pt;width:60.1pt;height:11.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" filled="f" stroked="f">
              <v:textbox style="mso-fit-shape-to-text:t" inset="0,0,0,0">
                <w:txbxContent>
                  <w:p w14:paraId="7FAEB971" w14:textId="77777777" w:rsidR="00062B98" w:rsidRDefault="00062B98">
                    <w:pPr>
                      <w:pStyle w:val="Headerorfooter20"/>
                    </w:pPr>
                    <w:r>
                      <w:rPr>
                        <w:rStyle w:val="Headerorfooter2"/>
                        <w:b/>
                        <w:bCs/>
                        <w:i/>
                        <w:iCs/>
                        <w:smallCaps/>
                        <w:color w:val="254A95"/>
                        <w:lang w:val="ru-RU"/>
                      </w:rPr>
                      <w:t>biomedicines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D061" w14:textId="77777777" w:rsidR="00062B98" w:rsidRDefault="00062B98">
    <w:pPr>
      <w:spacing w:line="1" w:lineRule="exact"/>
    </w:pPr>
    <w:r>
      <w:rPr>
        <w:noProof/>
        <w:lang w:val="ru-RU" w:eastAsia="ru-RU" w:bidi="ar-SA"/>
      </w:rPr>
      <mc:AlternateContent>
        <mc:Choice Requires="wps">
          <w:drawing>
            <wp:anchor distT="0" distB="0" distL="0" distR="0" simplePos="0" relativeHeight="251672576" behindDoc="1" locked="0" layoutInCell="1" allowOverlap="1" wp14:anchorId="299FF4E8" wp14:editId="788339A6">
              <wp:simplePos x="0" y="0"/>
              <wp:positionH relativeFrom="page">
                <wp:posOffset>452755</wp:posOffset>
              </wp:positionH>
              <wp:positionV relativeFrom="page">
                <wp:posOffset>701675</wp:posOffset>
              </wp:positionV>
              <wp:extent cx="6644640" cy="109220"/>
              <wp:effectExtent l="0" t="0" r="0" b="0"/>
              <wp:wrapNone/>
              <wp:docPr id="51" name="Shape 51"/>
              <wp:cNvGraphicFramePr/>
              <a:graphic xmlns:a="http://schemas.openxmlformats.org/drawingml/2006/main">
                <a:graphicData uri="http://schemas.microsoft.com/office/word/2010/wordprocessingShape">
                  <wps:wsp>
                    <wps:cNvSpPr txBox="1"/>
                    <wps:spPr>
                      <a:xfrm>
                        <a:off x="0" y="0"/>
                        <a:ext cx="6644640" cy="109220"/>
                      </a:xfrm>
                      <a:prstGeom prst="rect">
                        <a:avLst/>
                      </a:prstGeom>
                      <a:noFill/>
                    </wps:spPr>
                    <wps:txbx>
                      <w:txbxContent>
                        <w:p w14:paraId="2F24C893" w14:textId="77777777" w:rsidR="00062B98" w:rsidRDefault="00062B98">
                          <w:pPr>
                            <w:pStyle w:val="Headerorfooter20"/>
                            <w:tabs>
                              <w:tab w:val="right" w:pos="10464"/>
                            </w:tabs>
                            <w:rPr>
                              <w:sz w:val="14"/>
                              <w:szCs w:val="14"/>
                            </w:rPr>
                          </w:pPr>
                          <w:r>
                            <w:rPr>
                              <w:rStyle w:val="Headerorfooter2"/>
                              <w:rFonts w:ascii="Arial" w:eastAsia="Arial" w:hAnsi="Arial" w:cs="Arial"/>
                              <w:i/>
                              <w:iCs/>
                              <w:sz w:val="15"/>
                              <w:szCs w:val="15"/>
                              <w:lang w:val="ru-RU"/>
                            </w:rPr>
                            <w:t>Biomedicines</w:t>
                          </w:r>
                          <w:r>
                            <w:rPr>
                              <w:rStyle w:val="Headerorfooter2"/>
                              <w:rFonts w:ascii="Arial" w:eastAsia="Arial" w:hAnsi="Arial" w:cs="Arial"/>
                              <w:b/>
                              <w:bCs/>
                              <w:sz w:val="14"/>
                              <w:szCs w:val="14"/>
                              <w:lang w:val="ru-RU"/>
                            </w:rPr>
                            <w:t xml:space="preserve"> 2022</w:t>
                          </w:r>
                          <w:r>
                            <w:rPr>
                              <w:rStyle w:val="Headerorfooter2"/>
                              <w:rFonts w:ascii="Arial" w:eastAsia="Arial" w:hAnsi="Arial" w:cs="Arial"/>
                              <w:sz w:val="14"/>
                              <w:szCs w:val="14"/>
                              <w:lang w:val="ru-RU"/>
                            </w:rPr>
                            <w:t xml:space="preserve">, </w:t>
                          </w:r>
                          <w:r>
                            <w:rPr>
                              <w:rStyle w:val="Headerorfooter2"/>
                              <w:rFonts w:ascii="Arial" w:eastAsia="Arial" w:hAnsi="Arial" w:cs="Arial"/>
                              <w:i/>
                              <w:iCs/>
                              <w:sz w:val="15"/>
                              <w:szCs w:val="15"/>
                              <w:lang w:val="ru-RU"/>
                            </w:rPr>
                            <w:t>10</w:t>
                          </w:r>
                          <w:r>
                            <w:rPr>
                              <w:rStyle w:val="Headerorfooter2"/>
                              <w:rFonts w:ascii="Arial" w:eastAsia="Arial" w:hAnsi="Arial" w:cs="Arial"/>
                              <w:sz w:val="14"/>
                              <w:szCs w:val="14"/>
                              <w:lang w:val="ru-RU"/>
                            </w:rPr>
                            <w:t>, 1113</w:t>
                          </w:r>
                          <w:r>
                            <w:rPr>
                              <w:rStyle w:val="Headerorfooter2"/>
                              <w:rFonts w:ascii="Arial" w:eastAsia="Arial" w:hAnsi="Arial" w:cs="Arial"/>
                              <w:sz w:val="14"/>
                              <w:szCs w:val="14"/>
                              <w:lang w:val="ru-RU"/>
                            </w:rPr>
                            <w:tab/>
                          </w:r>
                          <w:r>
                            <w:fldChar w:fldCharType="begin"/>
                          </w:r>
                          <w:r>
                            <w:rPr>
                              <w:lang w:val="ru-RU"/>
                            </w:rPr>
                            <w:instrText xml:space="preserve"> PAGE \* MERGEFORMAT </w:instrText>
                          </w:r>
                          <w:r>
                            <w:fldChar w:fldCharType="separate"/>
                          </w:r>
                          <w:r w:rsidR="002C66B9" w:rsidRPr="002C66B9">
                            <w:rPr>
                              <w:rStyle w:val="Headerorfooter2"/>
                              <w:rFonts w:ascii="Arial" w:eastAsia="Arial" w:hAnsi="Arial" w:cs="Arial"/>
                              <w:noProof/>
                              <w:sz w:val="14"/>
                              <w:szCs w:val="14"/>
                            </w:rPr>
                            <w:t>14</w:t>
                          </w:r>
                          <w:r>
                            <w:rPr>
                              <w:rStyle w:val="Headerorfooter2"/>
                              <w:rFonts w:ascii="Arial" w:eastAsia="Arial" w:hAnsi="Arial" w:cs="Arial"/>
                              <w:sz w:val="14"/>
                              <w:szCs w:val="14"/>
                            </w:rPr>
                            <w:fldChar w:fldCharType="end"/>
                          </w:r>
                          <w:r>
                            <w:rPr>
                              <w:rStyle w:val="Headerorfooter2"/>
                              <w:rFonts w:ascii="Arial" w:eastAsia="Arial" w:hAnsi="Arial" w:cs="Arial"/>
                              <w:sz w:val="14"/>
                              <w:szCs w:val="14"/>
                              <w:lang w:val="ru-RU"/>
                            </w:rPr>
                            <w:t>из 12</w:t>
                          </w:r>
                        </w:p>
                      </w:txbxContent>
                    </wps:txbx>
                    <wps:bodyPr lIns="0" tIns="0" rIns="0" bIns="0">
                      <a:spAutoFit/>
                    </wps:bodyPr>
                  </wps:wsp>
                </a:graphicData>
              </a:graphic>
            </wp:anchor>
          </w:drawing>
        </mc:Choice>
        <mc:Fallback>
          <w:pict>
            <v:shapetype w14:anchorId="299FF4E8" id="_x0000_t202" coordsize="21600,21600" o:spt="202" path="m,l,21600r21600,l21600,xe">
              <v:stroke joinstyle="miter"/>
              <v:path gradientshapeok="t" o:connecttype="rect"/>
            </v:shapetype>
            <v:shape id="Shape 51" o:spid="_x0000_s1034" type="#_x0000_t202" style="position:absolute;margin-left:35.65pt;margin-top:55.25pt;width:523.2pt;height:8.6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" filled="f" stroked="f">
              <v:textbox style="mso-fit-shape-to-text:t" inset="0,0,0,0">
                <w:txbxContent>
                  <w:p w14:paraId="2F24C893" w14:textId="77777777" w:rsidR="00062B98" w:rsidRDefault="00062B98">
                    <w:pPr>
                      <w:pStyle w:val="Headerorfooter20"/>
                      <w:tabs>
                        <w:tab w:val="right" w:pos="10464"/>
                      </w:tabs>
                      <w:rPr>
                        <w:sz w:val="14"/>
                        <w:szCs w:val="14"/>
                      </w:rPr>
                    </w:pPr>
                    <w:r>
                      <w:rPr>
                        <w:rStyle w:val="Headerorfooter2"/>
                        <w:rFonts w:ascii="Arial" w:eastAsia="Arial" w:hAnsi="Arial" w:cs="Arial"/>
                        <w:i/>
                        <w:iCs/>
                        <w:sz w:val="15"/>
                        <w:szCs w:val="15"/>
                        <w:lang w:val="ru-RU"/>
                      </w:rPr>
                      <w:t>Biomedicines</w:t>
                    </w:r>
                    <w:r>
                      <w:rPr>
                        <w:rStyle w:val="Headerorfooter2"/>
                        <w:rFonts w:ascii="Arial" w:eastAsia="Arial" w:hAnsi="Arial" w:cs="Arial"/>
                        <w:b/>
                        <w:bCs/>
                        <w:sz w:val="14"/>
                        <w:szCs w:val="14"/>
                        <w:lang w:val="ru-RU"/>
                      </w:rPr>
                      <w:t xml:space="preserve"> 2022</w:t>
                    </w:r>
                    <w:r>
                      <w:rPr>
                        <w:rStyle w:val="Headerorfooter2"/>
                        <w:rFonts w:ascii="Arial" w:eastAsia="Arial" w:hAnsi="Arial" w:cs="Arial"/>
                        <w:sz w:val="14"/>
                        <w:szCs w:val="14"/>
                        <w:lang w:val="ru-RU"/>
                      </w:rPr>
                      <w:t xml:space="preserve">, </w:t>
                    </w:r>
                    <w:r>
                      <w:rPr>
                        <w:rStyle w:val="Headerorfooter2"/>
                        <w:rFonts w:ascii="Arial" w:eastAsia="Arial" w:hAnsi="Arial" w:cs="Arial"/>
                        <w:i/>
                        <w:iCs/>
                        <w:sz w:val="15"/>
                        <w:szCs w:val="15"/>
                        <w:lang w:val="ru-RU"/>
                      </w:rPr>
                      <w:t>10</w:t>
                    </w:r>
                    <w:r>
                      <w:rPr>
                        <w:rStyle w:val="Headerorfooter2"/>
                        <w:rFonts w:ascii="Arial" w:eastAsia="Arial" w:hAnsi="Arial" w:cs="Arial"/>
                        <w:sz w:val="14"/>
                        <w:szCs w:val="14"/>
                        <w:lang w:val="ru-RU"/>
                      </w:rPr>
                      <w:t>, 1113</w:t>
                    </w:r>
                    <w:r>
                      <w:rPr>
                        <w:rStyle w:val="Headerorfooter2"/>
                        <w:rFonts w:ascii="Arial" w:eastAsia="Arial" w:hAnsi="Arial" w:cs="Arial"/>
                        <w:sz w:val="14"/>
                        <w:szCs w:val="14"/>
                        <w:lang w:val="ru-RU"/>
                      </w:rPr>
                      <w:tab/>
                    </w:r>
                    <w:r>
                      <w:fldChar w:fldCharType="begin"/>
                    </w:r>
                    <w:r>
                      <w:rPr>
                        <w:lang w:val="ru-RU"/>
                      </w:rPr>
                      <w:instrText xml:space="preserve"> PAGE \* MERGEFORMAT </w:instrText>
                    </w:r>
                    <w:r>
                      <w:fldChar w:fldCharType="separate"/>
                    </w:r>
                    <w:r w:rsidR="002C66B9" w:rsidRPr="002C66B9">
                      <w:rPr>
                        <w:rStyle w:val="Headerorfooter2"/>
                        <w:rFonts w:ascii="Arial" w:eastAsia="Arial" w:hAnsi="Arial" w:cs="Arial"/>
                        <w:noProof/>
                        <w:sz w:val="14"/>
                        <w:szCs w:val="14"/>
                      </w:rPr>
                      <w:t>14</w:t>
                    </w:r>
                    <w:r>
                      <w:rPr>
                        <w:rStyle w:val="Headerorfooter2"/>
                        <w:rFonts w:ascii="Arial" w:eastAsia="Arial" w:hAnsi="Arial" w:cs="Arial"/>
                        <w:sz w:val="14"/>
                        <w:szCs w:val="14"/>
                      </w:rPr>
                      <w:fldChar w:fldCharType="end"/>
                    </w:r>
                    <w:r>
                      <w:rPr>
                        <w:rStyle w:val="Headerorfooter2"/>
                        <w:rFonts w:ascii="Arial" w:eastAsia="Arial" w:hAnsi="Arial" w:cs="Arial"/>
                        <w:sz w:val="14"/>
                        <w:szCs w:val="14"/>
                        <w:lang w:val="ru-RU"/>
                      </w:rPr>
                      <w:t>из 12</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62336" behindDoc="1" locked="0" layoutInCell="1" allowOverlap="1" wp14:anchorId="5D479F8C" wp14:editId="1FC09CA5">
              <wp:simplePos x="0" y="0"/>
              <wp:positionH relativeFrom="page">
                <wp:posOffset>449580</wp:posOffset>
              </wp:positionH>
              <wp:positionV relativeFrom="page">
                <wp:posOffset>872490</wp:posOffset>
              </wp:positionV>
              <wp:extent cx="6653530" cy="0"/>
              <wp:effectExtent l="0" t="0" r="0" b="0"/>
              <wp:wrapNone/>
              <wp:docPr id="53" name="Shape 53"/>
              <wp:cNvGraphicFramePr/>
              <a:graphic xmlns:a="http://schemas.openxmlformats.org/drawingml/2006/main">
                <a:graphicData uri="http://schemas.microsoft.com/office/word/2010/wordprocessingShape">
                  <wps:wsp>
                    <wps:cNvCnPr/>
                    <wps:spPr>
                      <a:xfrm>
                        <a:off x="0" y="0"/>
                        <a:ext cx="6653530" cy="0"/>
                      </a:xfrm>
                      <a:prstGeom prst="straightConnector1">
                        <a:avLst/>
                      </a:prstGeom>
                      <a:ln w="12700"/>
                    </wps:spPr>
                    <wps:bodyPr/>
                  </wps:wsp>
                </a:graphicData>
              </a:graphic>
            </wp:anchor>
          </w:drawing>
        </mc:Choice>
        <mc:Fallback>
          <w:pict>
            <v:shapetype w14:anchorId="1F663D7E" id="_x0000_t32" coordsize="21600,21600" o:spt="32" o:oned="t" path="m,l21600,21600e" filled="f">
              <v:path arrowok="t" fillok="f" o:connecttype="none"/>
              <o:lock v:ext="edit" shapetype="t"/>
            </v:shapetype>
            <v:shape id="Shape 53" o:spid="_x0000_s1026" type="#_x0000_t32" style="position:absolute;margin-left:35.4pt;margin-top:68.7pt;width:523.9pt;height:0;z-index:-25165414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" stroked="f" strokeweight="1pt">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8BFC" w14:textId="77777777" w:rsidR="00062B98" w:rsidRDefault="00062B98">
    <w:pPr>
      <w:spacing w:line="1" w:lineRule="exact"/>
    </w:pPr>
    <w:r>
      <w:rPr>
        <w:noProof/>
        <w:lang w:val="ru-RU" w:eastAsia="ru-RU" w:bidi="ar-SA"/>
      </w:rPr>
      <mc:AlternateContent>
        <mc:Choice Requires="wps">
          <w:drawing>
            <wp:anchor distT="0" distB="0" distL="0" distR="0" simplePos="0" relativeHeight="251670528" behindDoc="1" locked="0" layoutInCell="1" allowOverlap="1" wp14:anchorId="3B46372A" wp14:editId="0FBF1C34">
              <wp:simplePos x="0" y="0"/>
              <wp:positionH relativeFrom="page">
                <wp:posOffset>451485</wp:posOffset>
              </wp:positionH>
              <wp:positionV relativeFrom="page">
                <wp:posOffset>700405</wp:posOffset>
              </wp:positionV>
              <wp:extent cx="6644640" cy="109220"/>
              <wp:effectExtent l="0" t="0" r="0" b="0"/>
              <wp:wrapNone/>
              <wp:docPr id="48" name="Shape 48"/>
              <wp:cNvGraphicFramePr/>
              <a:graphic xmlns:a="http://schemas.openxmlformats.org/drawingml/2006/main">
                <a:graphicData uri="http://schemas.microsoft.com/office/word/2010/wordprocessingShape">
                  <wps:wsp>
                    <wps:cNvSpPr txBox="1"/>
                    <wps:spPr>
                      <a:xfrm>
                        <a:off x="0" y="0"/>
                        <a:ext cx="6644640" cy="109220"/>
                      </a:xfrm>
                      <a:prstGeom prst="rect">
                        <a:avLst/>
                      </a:prstGeom>
                      <a:noFill/>
                    </wps:spPr>
                    <wps:txbx>
                      <w:txbxContent>
                        <w:p w14:paraId="085799B3" w14:textId="77777777" w:rsidR="00062B98" w:rsidRDefault="00062B98">
                          <w:pPr>
                            <w:pStyle w:val="Headerorfooter20"/>
                            <w:tabs>
                              <w:tab w:val="right" w:pos="10464"/>
                            </w:tabs>
                            <w:rPr>
                              <w:sz w:val="14"/>
                              <w:szCs w:val="14"/>
                            </w:rPr>
                          </w:pPr>
                          <w:r>
                            <w:rPr>
                              <w:rStyle w:val="Headerorfooter2"/>
                              <w:rFonts w:ascii="Arial" w:eastAsia="Arial" w:hAnsi="Arial" w:cs="Arial"/>
                              <w:i/>
                              <w:iCs/>
                              <w:sz w:val="15"/>
                              <w:szCs w:val="15"/>
                              <w:lang w:val="ru-RU"/>
                            </w:rPr>
                            <w:t>Biomedicines</w:t>
                          </w:r>
                          <w:r>
                            <w:rPr>
                              <w:rStyle w:val="Headerorfooter2"/>
                              <w:rFonts w:ascii="Arial" w:eastAsia="Arial" w:hAnsi="Arial" w:cs="Arial"/>
                              <w:b/>
                              <w:bCs/>
                              <w:sz w:val="14"/>
                              <w:szCs w:val="14"/>
                              <w:lang w:val="ru-RU"/>
                            </w:rPr>
                            <w:t xml:space="preserve"> 2022</w:t>
                          </w:r>
                          <w:r>
                            <w:rPr>
                              <w:rStyle w:val="Headerorfooter2"/>
                              <w:rFonts w:ascii="Arial" w:eastAsia="Arial" w:hAnsi="Arial" w:cs="Arial"/>
                              <w:sz w:val="14"/>
                              <w:szCs w:val="14"/>
                              <w:lang w:val="ru-RU"/>
                            </w:rPr>
                            <w:t xml:space="preserve">, </w:t>
                          </w:r>
                          <w:r>
                            <w:rPr>
                              <w:rStyle w:val="Headerorfooter2"/>
                              <w:rFonts w:ascii="Arial" w:eastAsia="Arial" w:hAnsi="Arial" w:cs="Arial"/>
                              <w:i/>
                              <w:iCs/>
                              <w:sz w:val="15"/>
                              <w:szCs w:val="15"/>
                              <w:lang w:val="ru-RU"/>
                            </w:rPr>
                            <w:t>10</w:t>
                          </w:r>
                          <w:r>
                            <w:rPr>
                              <w:rStyle w:val="Headerorfooter2"/>
                              <w:rFonts w:ascii="Arial" w:eastAsia="Arial" w:hAnsi="Arial" w:cs="Arial"/>
                              <w:sz w:val="14"/>
                              <w:szCs w:val="14"/>
                              <w:lang w:val="ru-RU"/>
                            </w:rPr>
                            <w:t>, 1113</w:t>
                          </w:r>
                          <w:r>
                            <w:rPr>
                              <w:rStyle w:val="Headerorfooter2"/>
                              <w:rFonts w:ascii="Arial" w:eastAsia="Arial" w:hAnsi="Arial" w:cs="Arial"/>
                              <w:sz w:val="14"/>
                              <w:szCs w:val="14"/>
                              <w:lang w:val="ru-RU"/>
                            </w:rPr>
                            <w:tab/>
                          </w:r>
                          <w:r>
                            <w:fldChar w:fldCharType="begin"/>
                          </w:r>
                          <w:r>
                            <w:rPr>
                              <w:lang w:val="ru-RU"/>
                            </w:rPr>
                            <w:instrText xml:space="preserve"> PAGE \* MERGEFORMAT </w:instrText>
                          </w:r>
                          <w:r>
                            <w:fldChar w:fldCharType="separate"/>
                          </w:r>
                          <w:r w:rsidR="002C66B9" w:rsidRPr="002C66B9">
                            <w:rPr>
                              <w:rStyle w:val="Headerorfooter2"/>
                              <w:rFonts w:ascii="Arial" w:eastAsia="Arial" w:hAnsi="Arial" w:cs="Arial"/>
                              <w:noProof/>
                              <w:sz w:val="14"/>
                              <w:szCs w:val="14"/>
                            </w:rPr>
                            <w:t>13</w:t>
                          </w:r>
                          <w:r>
                            <w:rPr>
                              <w:rStyle w:val="Headerorfooter2"/>
                              <w:rFonts w:ascii="Arial" w:eastAsia="Arial" w:hAnsi="Arial" w:cs="Arial"/>
                              <w:sz w:val="14"/>
                              <w:szCs w:val="14"/>
                            </w:rPr>
                            <w:fldChar w:fldCharType="end"/>
                          </w:r>
                          <w:r>
                            <w:rPr>
                              <w:rStyle w:val="Headerorfooter2"/>
                              <w:rFonts w:ascii="Arial" w:eastAsia="Arial" w:hAnsi="Arial" w:cs="Arial"/>
                              <w:sz w:val="14"/>
                              <w:szCs w:val="14"/>
                              <w:lang w:val="ru-RU"/>
                            </w:rPr>
                            <w:t xml:space="preserve"> из 12</w:t>
                          </w:r>
                        </w:p>
                      </w:txbxContent>
                    </wps:txbx>
                    <wps:bodyPr lIns="0" tIns="0" rIns="0" bIns="0">
                      <a:spAutoFit/>
                    </wps:bodyPr>
                  </wps:wsp>
                </a:graphicData>
              </a:graphic>
            </wp:anchor>
          </w:drawing>
        </mc:Choice>
        <mc:Fallback>
          <w:pict>
            <v:shapetype w14:anchorId="3B46372A" id="_x0000_t202" coordsize="21600,21600" o:spt="202" path="m,l,21600r21600,l21600,xe">
              <v:stroke joinstyle="miter"/>
              <v:path gradientshapeok="t" o:connecttype="rect"/>
            </v:shapetype>
            <v:shape id="Shape 48" o:spid="_x0000_s1035" type="#_x0000_t202" style="position:absolute;margin-left:35.55pt;margin-top:55.15pt;width:523.2pt;height:8.6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" filled="f" stroked="f">
              <v:textbox style="mso-fit-shape-to-text:t" inset="0,0,0,0">
                <w:txbxContent>
                  <w:p w14:paraId="085799B3" w14:textId="77777777" w:rsidR="00062B98" w:rsidRDefault="00062B98">
                    <w:pPr>
                      <w:pStyle w:val="Headerorfooter20"/>
                      <w:tabs>
                        <w:tab w:val="right" w:pos="10464"/>
                      </w:tabs>
                      <w:rPr>
                        <w:sz w:val="14"/>
                        <w:szCs w:val="14"/>
                      </w:rPr>
                    </w:pPr>
                    <w:r>
                      <w:rPr>
                        <w:rStyle w:val="Headerorfooter2"/>
                        <w:rFonts w:ascii="Arial" w:eastAsia="Arial" w:hAnsi="Arial" w:cs="Arial"/>
                        <w:i/>
                        <w:iCs/>
                        <w:sz w:val="15"/>
                        <w:szCs w:val="15"/>
                        <w:lang w:val="ru-RU"/>
                      </w:rPr>
                      <w:t>Biomedicines</w:t>
                    </w:r>
                    <w:r>
                      <w:rPr>
                        <w:rStyle w:val="Headerorfooter2"/>
                        <w:rFonts w:ascii="Arial" w:eastAsia="Arial" w:hAnsi="Arial" w:cs="Arial"/>
                        <w:b/>
                        <w:bCs/>
                        <w:sz w:val="14"/>
                        <w:szCs w:val="14"/>
                        <w:lang w:val="ru-RU"/>
                      </w:rPr>
                      <w:t xml:space="preserve"> 2022</w:t>
                    </w:r>
                    <w:r>
                      <w:rPr>
                        <w:rStyle w:val="Headerorfooter2"/>
                        <w:rFonts w:ascii="Arial" w:eastAsia="Arial" w:hAnsi="Arial" w:cs="Arial"/>
                        <w:sz w:val="14"/>
                        <w:szCs w:val="14"/>
                        <w:lang w:val="ru-RU"/>
                      </w:rPr>
                      <w:t xml:space="preserve">, </w:t>
                    </w:r>
                    <w:r>
                      <w:rPr>
                        <w:rStyle w:val="Headerorfooter2"/>
                        <w:rFonts w:ascii="Arial" w:eastAsia="Arial" w:hAnsi="Arial" w:cs="Arial"/>
                        <w:i/>
                        <w:iCs/>
                        <w:sz w:val="15"/>
                        <w:szCs w:val="15"/>
                        <w:lang w:val="ru-RU"/>
                      </w:rPr>
                      <w:t>10</w:t>
                    </w:r>
                    <w:r>
                      <w:rPr>
                        <w:rStyle w:val="Headerorfooter2"/>
                        <w:rFonts w:ascii="Arial" w:eastAsia="Arial" w:hAnsi="Arial" w:cs="Arial"/>
                        <w:sz w:val="14"/>
                        <w:szCs w:val="14"/>
                        <w:lang w:val="ru-RU"/>
                      </w:rPr>
                      <w:t>, 1113</w:t>
                    </w:r>
                    <w:r>
                      <w:rPr>
                        <w:rStyle w:val="Headerorfooter2"/>
                        <w:rFonts w:ascii="Arial" w:eastAsia="Arial" w:hAnsi="Arial" w:cs="Arial"/>
                        <w:sz w:val="14"/>
                        <w:szCs w:val="14"/>
                        <w:lang w:val="ru-RU"/>
                      </w:rPr>
                      <w:tab/>
                    </w:r>
                    <w:r>
                      <w:fldChar w:fldCharType="begin"/>
                    </w:r>
                    <w:r>
                      <w:rPr>
                        <w:lang w:val="ru-RU"/>
                      </w:rPr>
                      <w:instrText xml:space="preserve"> PAGE \* MERGEFORMAT </w:instrText>
                    </w:r>
                    <w:r>
                      <w:fldChar w:fldCharType="separate"/>
                    </w:r>
                    <w:r w:rsidR="002C66B9" w:rsidRPr="002C66B9">
                      <w:rPr>
                        <w:rStyle w:val="Headerorfooter2"/>
                        <w:rFonts w:ascii="Arial" w:eastAsia="Arial" w:hAnsi="Arial" w:cs="Arial"/>
                        <w:noProof/>
                        <w:sz w:val="14"/>
                        <w:szCs w:val="14"/>
                      </w:rPr>
                      <w:t>13</w:t>
                    </w:r>
                    <w:r>
                      <w:rPr>
                        <w:rStyle w:val="Headerorfooter2"/>
                        <w:rFonts w:ascii="Arial" w:eastAsia="Arial" w:hAnsi="Arial" w:cs="Arial"/>
                        <w:sz w:val="14"/>
                        <w:szCs w:val="14"/>
                      </w:rPr>
                      <w:fldChar w:fldCharType="end"/>
                    </w:r>
                    <w:r>
                      <w:rPr>
                        <w:rStyle w:val="Headerorfooter2"/>
                        <w:rFonts w:ascii="Arial" w:eastAsia="Arial" w:hAnsi="Arial" w:cs="Arial"/>
                        <w:sz w:val="14"/>
                        <w:szCs w:val="14"/>
                        <w:lang w:val="ru-RU"/>
                      </w:rPr>
                      <w:t xml:space="preserve"> из 12</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61312" behindDoc="1" locked="0" layoutInCell="1" allowOverlap="1" wp14:anchorId="31A9B77B" wp14:editId="56F0B330">
              <wp:simplePos x="0" y="0"/>
              <wp:positionH relativeFrom="page">
                <wp:posOffset>448310</wp:posOffset>
              </wp:positionH>
              <wp:positionV relativeFrom="page">
                <wp:posOffset>872490</wp:posOffset>
              </wp:positionV>
              <wp:extent cx="6653530" cy="0"/>
              <wp:effectExtent l="0" t="0" r="0" b="0"/>
              <wp:wrapNone/>
              <wp:docPr id="50" name="Shape 50"/>
              <wp:cNvGraphicFramePr/>
              <a:graphic xmlns:a="http://schemas.openxmlformats.org/drawingml/2006/main">
                <a:graphicData uri="http://schemas.microsoft.com/office/word/2010/wordprocessingShape">
                  <wps:wsp>
                    <wps:cNvCnPr/>
                    <wps:spPr>
                      <a:xfrm>
                        <a:off x="0" y="0"/>
                        <a:ext cx="6653530" cy="0"/>
                      </a:xfrm>
                      <a:prstGeom prst="straightConnector1">
                        <a:avLst/>
                      </a:prstGeom>
                      <a:ln w="12700"/>
                    </wps:spPr>
                    <wps:bodyPr/>
                  </wps:wsp>
                </a:graphicData>
              </a:graphic>
            </wp:anchor>
          </w:drawing>
        </mc:Choice>
        <mc:Fallback>
          <w:pict>
            <v:shapetype w14:anchorId="0E53003A" id="_x0000_t32" coordsize="21600,21600" o:spt="32" o:oned="t" path="m,l21600,21600e" filled="f">
              <v:path arrowok="t" fillok="f" o:connecttype="none"/>
              <o:lock v:ext="edit" shapetype="t"/>
            </v:shapetype>
            <v:shape id="Shape 50" o:spid="_x0000_s1026" type="#_x0000_t32" style="position:absolute;margin-left:35.3pt;margin-top:68.7pt;width:523.9pt;height:0;z-index:-2516551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&#1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2162"/>
    <w:multiLevelType w:val="multilevel"/>
    <w:tmpl w:val="B91624F8"/>
    <w:lvl w:ilvl="0">
      <w:start w:val="3"/>
      <w:numFmt w:val="decimal"/>
      <w:lvlText w:val="%1."/>
      <w:lvlJc w:val="left"/>
      <w:pPr>
        <w:ind w:left="360" w:hanging="360"/>
      </w:pPr>
      <w:rPr>
        <w:rFonts w:hint="default"/>
      </w:rPr>
    </w:lvl>
    <w:lvl w:ilvl="1">
      <w:start w:val="1"/>
      <w:numFmt w:val="decimal"/>
      <w:lvlText w:val="%1.%2."/>
      <w:lvlJc w:val="left"/>
      <w:pPr>
        <w:ind w:left="2980" w:hanging="360"/>
      </w:pPr>
      <w:rPr>
        <w:rFonts w:hint="default"/>
      </w:rPr>
    </w:lvl>
    <w:lvl w:ilvl="2">
      <w:start w:val="1"/>
      <w:numFmt w:val="decimal"/>
      <w:lvlText w:val="%1.%2.%3."/>
      <w:lvlJc w:val="left"/>
      <w:pPr>
        <w:ind w:left="5960" w:hanging="720"/>
      </w:pPr>
      <w:rPr>
        <w:rFonts w:hint="default"/>
      </w:rPr>
    </w:lvl>
    <w:lvl w:ilvl="3">
      <w:start w:val="1"/>
      <w:numFmt w:val="decimal"/>
      <w:lvlText w:val="%1.%2.%3.%4."/>
      <w:lvlJc w:val="left"/>
      <w:pPr>
        <w:ind w:left="8580" w:hanging="720"/>
      </w:pPr>
      <w:rPr>
        <w:rFonts w:hint="default"/>
      </w:rPr>
    </w:lvl>
    <w:lvl w:ilvl="4">
      <w:start w:val="1"/>
      <w:numFmt w:val="decimal"/>
      <w:lvlText w:val="%1.%2.%3.%4.%5."/>
      <w:lvlJc w:val="left"/>
      <w:pPr>
        <w:ind w:left="11560" w:hanging="1080"/>
      </w:pPr>
      <w:rPr>
        <w:rFonts w:hint="default"/>
      </w:rPr>
    </w:lvl>
    <w:lvl w:ilvl="5">
      <w:start w:val="1"/>
      <w:numFmt w:val="decimal"/>
      <w:lvlText w:val="%1.%2.%3.%4.%5.%6."/>
      <w:lvlJc w:val="left"/>
      <w:pPr>
        <w:ind w:left="14180" w:hanging="1080"/>
      </w:pPr>
      <w:rPr>
        <w:rFonts w:hint="default"/>
      </w:rPr>
    </w:lvl>
    <w:lvl w:ilvl="6">
      <w:start w:val="1"/>
      <w:numFmt w:val="decimal"/>
      <w:lvlText w:val="%1.%2.%3.%4.%5.%6.%7."/>
      <w:lvlJc w:val="left"/>
      <w:pPr>
        <w:ind w:left="16800" w:hanging="1080"/>
      </w:pPr>
      <w:rPr>
        <w:rFonts w:hint="default"/>
      </w:rPr>
    </w:lvl>
    <w:lvl w:ilvl="7">
      <w:start w:val="1"/>
      <w:numFmt w:val="decimal"/>
      <w:lvlText w:val="%1.%2.%3.%4.%5.%6.%7.%8."/>
      <w:lvlJc w:val="left"/>
      <w:pPr>
        <w:ind w:left="19780" w:hanging="1440"/>
      </w:pPr>
      <w:rPr>
        <w:rFonts w:hint="default"/>
      </w:rPr>
    </w:lvl>
    <w:lvl w:ilvl="8">
      <w:start w:val="1"/>
      <w:numFmt w:val="decimal"/>
      <w:lvlText w:val="%1.%2.%3.%4.%5.%6.%7.%8.%9."/>
      <w:lvlJc w:val="left"/>
      <w:pPr>
        <w:ind w:left="22400" w:hanging="1440"/>
      </w:pPr>
      <w:rPr>
        <w:rFonts w:hint="default"/>
      </w:rPr>
    </w:lvl>
  </w:abstractNum>
  <w:abstractNum w:abstractNumId="1" w15:restartNumberingAfterBreak="0">
    <w:nsid w:val="14AF17A8"/>
    <w:multiLevelType w:val="multilevel"/>
    <w:tmpl w:val="000000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197D749F"/>
    <w:multiLevelType w:val="hybridMultilevel"/>
    <w:tmpl w:val="2B303E30"/>
    <w:lvl w:ilvl="0" w:tplc="C8D41FD2">
      <w:start w:val="1"/>
      <w:numFmt w:val="decimal"/>
      <w:lvlText w:val="%1."/>
      <w:lvlJc w:val="left"/>
      <w:pPr>
        <w:ind w:left="2964" w:hanging="360"/>
      </w:pPr>
      <w:rPr>
        <w:rFonts w:hint="default"/>
      </w:rPr>
    </w:lvl>
    <w:lvl w:ilvl="1" w:tplc="04190019" w:tentative="1">
      <w:start w:val="1"/>
      <w:numFmt w:val="lowerLetter"/>
      <w:lvlText w:val="%2."/>
      <w:lvlJc w:val="left"/>
      <w:pPr>
        <w:ind w:left="3684" w:hanging="360"/>
      </w:pPr>
    </w:lvl>
    <w:lvl w:ilvl="2" w:tplc="0419001B" w:tentative="1">
      <w:start w:val="1"/>
      <w:numFmt w:val="lowerRoman"/>
      <w:lvlText w:val="%3."/>
      <w:lvlJc w:val="right"/>
      <w:pPr>
        <w:ind w:left="4404" w:hanging="180"/>
      </w:pPr>
    </w:lvl>
    <w:lvl w:ilvl="3" w:tplc="0419000F" w:tentative="1">
      <w:start w:val="1"/>
      <w:numFmt w:val="decimal"/>
      <w:lvlText w:val="%4."/>
      <w:lvlJc w:val="left"/>
      <w:pPr>
        <w:ind w:left="5124" w:hanging="360"/>
      </w:pPr>
    </w:lvl>
    <w:lvl w:ilvl="4" w:tplc="04190019" w:tentative="1">
      <w:start w:val="1"/>
      <w:numFmt w:val="lowerLetter"/>
      <w:lvlText w:val="%5."/>
      <w:lvlJc w:val="left"/>
      <w:pPr>
        <w:ind w:left="5844" w:hanging="360"/>
      </w:pPr>
    </w:lvl>
    <w:lvl w:ilvl="5" w:tplc="0419001B" w:tentative="1">
      <w:start w:val="1"/>
      <w:numFmt w:val="lowerRoman"/>
      <w:lvlText w:val="%6."/>
      <w:lvlJc w:val="right"/>
      <w:pPr>
        <w:ind w:left="6564" w:hanging="180"/>
      </w:pPr>
    </w:lvl>
    <w:lvl w:ilvl="6" w:tplc="0419000F" w:tentative="1">
      <w:start w:val="1"/>
      <w:numFmt w:val="decimal"/>
      <w:lvlText w:val="%7."/>
      <w:lvlJc w:val="left"/>
      <w:pPr>
        <w:ind w:left="7284" w:hanging="360"/>
      </w:pPr>
    </w:lvl>
    <w:lvl w:ilvl="7" w:tplc="04190019" w:tentative="1">
      <w:start w:val="1"/>
      <w:numFmt w:val="lowerLetter"/>
      <w:lvlText w:val="%8."/>
      <w:lvlJc w:val="left"/>
      <w:pPr>
        <w:ind w:left="8004" w:hanging="360"/>
      </w:pPr>
    </w:lvl>
    <w:lvl w:ilvl="8" w:tplc="0419001B" w:tentative="1">
      <w:start w:val="1"/>
      <w:numFmt w:val="lowerRoman"/>
      <w:lvlText w:val="%9."/>
      <w:lvlJc w:val="right"/>
      <w:pPr>
        <w:ind w:left="8724" w:hanging="180"/>
      </w:pPr>
    </w:lvl>
  </w:abstractNum>
  <w:abstractNum w:abstractNumId="3" w15:restartNumberingAfterBreak="0">
    <w:nsid w:val="29A6072C"/>
    <w:multiLevelType w:val="multilevel"/>
    <w:tmpl w:val="00000000"/>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en-US" w:eastAsia="en-US" w:bidi="en-US"/>
      </w:rPr>
    </w:lvl>
    <w:lvl w:ilvl="1">
      <w:start w:val="1"/>
      <w:numFmt w:val="decimal"/>
      <w:lvlText w:val="%1.%2."/>
      <w:lvlJc w:val="left"/>
      <w:rPr>
        <w:rFonts w:ascii="Arial" w:eastAsia="Arial" w:hAnsi="Arial" w:cs="Arial"/>
        <w:b w:val="0"/>
        <w:bCs w:val="0"/>
        <w:i/>
        <w:iCs/>
        <w:smallCaps w:val="0"/>
        <w:strike w:val="0"/>
        <w:color w:val="000000"/>
        <w:spacing w:val="0"/>
        <w:w w:val="100"/>
        <w:position w:val="0"/>
        <w:sz w:val="18"/>
        <w:szCs w:val="18"/>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3CB943BC"/>
    <w:multiLevelType w:val="multilevel"/>
    <w:tmpl w:val="5A5E4948"/>
    <w:lvl w:ilvl="0">
      <w:start w:val="2"/>
      <w:numFmt w:val="decimal"/>
      <w:lvlText w:val="%1."/>
      <w:lvlJc w:val="left"/>
      <w:pPr>
        <w:ind w:left="3184" w:hanging="360"/>
      </w:pPr>
      <w:rPr>
        <w:rFonts w:hint="default"/>
      </w:rPr>
    </w:lvl>
    <w:lvl w:ilvl="1">
      <w:start w:val="1"/>
      <w:numFmt w:val="decimal"/>
      <w:isLgl/>
      <w:lvlText w:val="%1.%2"/>
      <w:lvlJc w:val="left"/>
      <w:pPr>
        <w:ind w:left="3184" w:hanging="360"/>
      </w:pPr>
      <w:rPr>
        <w:rFonts w:hint="default"/>
      </w:rPr>
    </w:lvl>
    <w:lvl w:ilvl="2">
      <w:start w:val="1"/>
      <w:numFmt w:val="decimal"/>
      <w:isLgl/>
      <w:lvlText w:val="%1.%2.%3"/>
      <w:lvlJc w:val="left"/>
      <w:pPr>
        <w:ind w:left="3544" w:hanging="720"/>
      </w:pPr>
      <w:rPr>
        <w:rFonts w:hint="default"/>
      </w:rPr>
    </w:lvl>
    <w:lvl w:ilvl="3">
      <w:start w:val="1"/>
      <w:numFmt w:val="decimal"/>
      <w:isLgl/>
      <w:lvlText w:val="%1.%2.%3.%4"/>
      <w:lvlJc w:val="left"/>
      <w:pPr>
        <w:ind w:left="3544" w:hanging="720"/>
      </w:pPr>
      <w:rPr>
        <w:rFonts w:hint="default"/>
      </w:rPr>
    </w:lvl>
    <w:lvl w:ilvl="4">
      <w:start w:val="1"/>
      <w:numFmt w:val="decimal"/>
      <w:isLgl/>
      <w:lvlText w:val="%1.%2.%3.%4.%5"/>
      <w:lvlJc w:val="left"/>
      <w:pPr>
        <w:ind w:left="3544" w:hanging="720"/>
      </w:pPr>
      <w:rPr>
        <w:rFonts w:hint="default"/>
      </w:rPr>
    </w:lvl>
    <w:lvl w:ilvl="5">
      <w:start w:val="1"/>
      <w:numFmt w:val="decimal"/>
      <w:isLgl/>
      <w:lvlText w:val="%1.%2.%3.%4.%5.%6"/>
      <w:lvlJc w:val="left"/>
      <w:pPr>
        <w:ind w:left="3904" w:hanging="1080"/>
      </w:pPr>
      <w:rPr>
        <w:rFonts w:hint="default"/>
      </w:rPr>
    </w:lvl>
    <w:lvl w:ilvl="6">
      <w:start w:val="1"/>
      <w:numFmt w:val="decimal"/>
      <w:isLgl/>
      <w:lvlText w:val="%1.%2.%3.%4.%5.%6.%7"/>
      <w:lvlJc w:val="left"/>
      <w:pPr>
        <w:ind w:left="3904" w:hanging="1080"/>
      </w:pPr>
      <w:rPr>
        <w:rFonts w:hint="default"/>
      </w:rPr>
    </w:lvl>
    <w:lvl w:ilvl="7">
      <w:start w:val="1"/>
      <w:numFmt w:val="decimal"/>
      <w:isLgl/>
      <w:lvlText w:val="%1.%2.%3.%4.%5.%6.%7.%8"/>
      <w:lvlJc w:val="left"/>
      <w:pPr>
        <w:ind w:left="4264" w:hanging="1440"/>
      </w:pPr>
      <w:rPr>
        <w:rFonts w:hint="default"/>
      </w:rPr>
    </w:lvl>
    <w:lvl w:ilvl="8">
      <w:start w:val="1"/>
      <w:numFmt w:val="decimal"/>
      <w:isLgl/>
      <w:lvlText w:val="%1.%2.%3.%4.%5.%6.%7.%8.%9"/>
      <w:lvlJc w:val="left"/>
      <w:pPr>
        <w:ind w:left="4264" w:hanging="1440"/>
      </w:pPr>
      <w:rPr>
        <w:rFonts w:hint="default"/>
      </w:rPr>
    </w:lvl>
  </w:abstractNum>
  <w:abstractNum w:abstractNumId="5" w15:restartNumberingAfterBreak="0">
    <w:nsid w:val="3FB0017B"/>
    <w:multiLevelType w:val="hybridMultilevel"/>
    <w:tmpl w:val="8528C9A2"/>
    <w:lvl w:ilvl="0" w:tplc="EC703018">
      <w:start w:val="3"/>
      <w:numFmt w:val="decimal"/>
      <w:lvlText w:val="%1."/>
      <w:lvlJc w:val="left"/>
      <w:pPr>
        <w:ind w:left="3000" w:hanging="360"/>
      </w:pPr>
      <w:rPr>
        <w:rFonts w:hint="default"/>
        <w:lang w:val="en-US"/>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6" w15:restartNumberingAfterBreak="0">
    <w:nsid w:val="4CCB59FC"/>
    <w:multiLevelType w:val="multilevel"/>
    <w:tmpl w:val="A0F8C92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AF79FB"/>
    <w:multiLevelType w:val="multilevel"/>
    <w:tmpl w:val="B4A4867A"/>
    <w:lvl w:ilvl="0">
      <w:start w:val="2"/>
      <w:numFmt w:val="decimal"/>
      <w:lvlText w:val="%1."/>
      <w:lvlJc w:val="left"/>
      <w:pPr>
        <w:ind w:left="360" w:hanging="360"/>
      </w:pPr>
      <w:rPr>
        <w:rFonts w:hint="default"/>
      </w:rPr>
    </w:lvl>
    <w:lvl w:ilvl="1">
      <w:start w:val="1"/>
      <w:numFmt w:val="decimal"/>
      <w:lvlText w:val="%1.%2."/>
      <w:lvlJc w:val="left"/>
      <w:pPr>
        <w:ind w:left="3184" w:hanging="360"/>
      </w:pPr>
      <w:rPr>
        <w:rFonts w:hint="default"/>
      </w:rPr>
    </w:lvl>
    <w:lvl w:ilvl="2">
      <w:start w:val="1"/>
      <w:numFmt w:val="decimal"/>
      <w:lvlText w:val="%1.%2.%3."/>
      <w:lvlJc w:val="left"/>
      <w:pPr>
        <w:ind w:left="6368" w:hanging="720"/>
      </w:pPr>
      <w:rPr>
        <w:rFonts w:hint="default"/>
      </w:rPr>
    </w:lvl>
    <w:lvl w:ilvl="3">
      <w:start w:val="1"/>
      <w:numFmt w:val="decimal"/>
      <w:lvlText w:val="%1.%2.%3.%4."/>
      <w:lvlJc w:val="left"/>
      <w:pPr>
        <w:ind w:left="9192" w:hanging="720"/>
      </w:pPr>
      <w:rPr>
        <w:rFonts w:hint="default"/>
      </w:rPr>
    </w:lvl>
    <w:lvl w:ilvl="4">
      <w:start w:val="1"/>
      <w:numFmt w:val="decimal"/>
      <w:lvlText w:val="%1.%2.%3.%4.%5."/>
      <w:lvlJc w:val="left"/>
      <w:pPr>
        <w:ind w:left="12376" w:hanging="1080"/>
      </w:pPr>
      <w:rPr>
        <w:rFonts w:hint="default"/>
      </w:rPr>
    </w:lvl>
    <w:lvl w:ilvl="5">
      <w:start w:val="1"/>
      <w:numFmt w:val="decimal"/>
      <w:lvlText w:val="%1.%2.%3.%4.%5.%6."/>
      <w:lvlJc w:val="left"/>
      <w:pPr>
        <w:ind w:left="15200" w:hanging="1080"/>
      </w:pPr>
      <w:rPr>
        <w:rFonts w:hint="default"/>
      </w:rPr>
    </w:lvl>
    <w:lvl w:ilvl="6">
      <w:start w:val="1"/>
      <w:numFmt w:val="decimal"/>
      <w:lvlText w:val="%1.%2.%3.%4.%5.%6.%7."/>
      <w:lvlJc w:val="left"/>
      <w:pPr>
        <w:ind w:left="18024" w:hanging="1080"/>
      </w:pPr>
      <w:rPr>
        <w:rFonts w:hint="default"/>
      </w:rPr>
    </w:lvl>
    <w:lvl w:ilvl="7">
      <w:start w:val="1"/>
      <w:numFmt w:val="decimal"/>
      <w:lvlText w:val="%1.%2.%3.%4.%5.%6.%7.%8."/>
      <w:lvlJc w:val="left"/>
      <w:pPr>
        <w:ind w:left="21208" w:hanging="1440"/>
      </w:pPr>
      <w:rPr>
        <w:rFonts w:hint="default"/>
      </w:rPr>
    </w:lvl>
    <w:lvl w:ilvl="8">
      <w:start w:val="1"/>
      <w:numFmt w:val="decimal"/>
      <w:lvlText w:val="%1.%2.%3.%4.%5.%6.%7.%8.%9."/>
      <w:lvlJc w:val="left"/>
      <w:pPr>
        <w:ind w:left="24032" w:hanging="1440"/>
      </w:pPr>
      <w:rPr>
        <w:rFonts w:hint="default"/>
      </w:rPr>
    </w:lvl>
  </w:abstractNum>
  <w:abstractNum w:abstractNumId="8" w15:restartNumberingAfterBreak="0">
    <w:nsid w:val="53FC33EF"/>
    <w:multiLevelType w:val="hybridMultilevel"/>
    <w:tmpl w:val="C0DC5154"/>
    <w:lvl w:ilvl="0" w:tplc="BBF8CEBC">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 w15:restartNumberingAfterBreak="0">
    <w:nsid w:val="544B1385"/>
    <w:multiLevelType w:val="hybridMultilevel"/>
    <w:tmpl w:val="D42C3762"/>
    <w:lvl w:ilvl="0" w:tplc="FB2A4484">
      <w:start w:val="1"/>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0" w15:restartNumberingAfterBreak="0">
    <w:nsid w:val="59F1DC3E"/>
    <w:multiLevelType w:val="multilevel"/>
    <w:tmpl w:val="9320CF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5C5B571E"/>
    <w:multiLevelType w:val="multilevel"/>
    <w:tmpl w:val="A2340F06"/>
    <w:lvl w:ilvl="0">
      <w:start w:val="3"/>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num w:numId="1" w16cid:durableId="1182931447">
    <w:abstractNumId w:val="10"/>
  </w:num>
  <w:num w:numId="2" w16cid:durableId="1200779002">
    <w:abstractNumId w:val="3"/>
  </w:num>
  <w:num w:numId="3" w16cid:durableId="402337331">
    <w:abstractNumId w:val="1"/>
  </w:num>
  <w:num w:numId="4" w16cid:durableId="652640099">
    <w:abstractNumId w:val="2"/>
  </w:num>
  <w:num w:numId="5" w16cid:durableId="895167783">
    <w:abstractNumId w:val="4"/>
  </w:num>
  <w:num w:numId="6" w16cid:durableId="2058778228">
    <w:abstractNumId w:val="7"/>
  </w:num>
  <w:num w:numId="7" w16cid:durableId="1701856590">
    <w:abstractNumId w:val="0"/>
  </w:num>
  <w:num w:numId="8" w16cid:durableId="2089108228">
    <w:abstractNumId w:val="11"/>
  </w:num>
  <w:num w:numId="9" w16cid:durableId="147521558">
    <w:abstractNumId w:val="6"/>
  </w:num>
  <w:num w:numId="10" w16cid:durableId="920405659">
    <w:abstractNumId w:val="9"/>
  </w:num>
  <w:num w:numId="11" w16cid:durableId="474302904">
    <w:abstractNumId w:val="5"/>
  </w:num>
  <w:num w:numId="12" w16cid:durableId="1542135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7C0"/>
    <w:rsid w:val="00052581"/>
    <w:rsid w:val="00062B98"/>
    <w:rsid w:val="00084BC3"/>
    <w:rsid w:val="000B65C6"/>
    <w:rsid w:val="00100CA8"/>
    <w:rsid w:val="00170C30"/>
    <w:rsid w:val="00221F12"/>
    <w:rsid w:val="00223252"/>
    <w:rsid w:val="00256F9E"/>
    <w:rsid w:val="002B5AFF"/>
    <w:rsid w:val="002C66B9"/>
    <w:rsid w:val="00341A5B"/>
    <w:rsid w:val="00352C8C"/>
    <w:rsid w:val="003730C9"/>
    <w:rsid w:val="003A070B"/>
    <w:rsid w:val="003C1FB7"/>
    <w:rsid w:val="003C3170"/>
    <w:rsid w:val="004961FB"/>
    <w:rsid w:val="004A4FE9"/>
    <w:rsid w:val="004D0BE9"/>
    <w:rsid w:val="004E1AD5"/>
    <w:rsid w:val="004E5AC3"/>
    <w:rsid w:val="005517BD"/>
    <w:rsid w:val="00663008"/>
    <w:rsid w:val="0067182A"/>
    <w:rsid w:val="006C77BE"/>
    <w:rsid w:val="00756A4E"/>
    <w:rsid w:val="007627F7"/>
    <w:rsid w:val="007C5C56"/>
    <w:rsid w:val="0081031B"/>
    <w:rsid w:val="0087716A"/>
    <w:rsid w:val="0092170F"/>
    <w:rsid w:val="0092685B"/>
    <w:rsid w:val="00986B3A"/>
    <w:rsid w:val="00986F81"/>
    <w:rsid w:val="00B2699A"/>
    <w:rsid w:val="00B540A5"/>
    <w:rsid w:val="00B76D65"/>
    <w:rsid w:val="00BA4B4B"/>
    <w:rsid w:val="00BC176B"/>
    <w:rsid w:val="00CB4C59"/>
    <w:rsid w:val="00CE207A"/>
    <w:rsid w:val="00CE5466"/>
    <w:rsid w:val="00D567C0"/>
    <w:rsid w:val="00D65C57"/>
    <w:rsid w:val="00D65FEA"/>
    <w:rsid w:val="00DA3E37"/>
    <w:rsid w:val="00DF21C8"/>
    <w:rsid w:val="00E560D1"/>
    <w:rsid w:val="00EA73E8"/>
    <w:rsid w:val="00EB0A06"/>
    <w:rsid w:val="00F96A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76B3FA"/>
  <w15:docId w15:val="{28DC7FB1-61EF-B741-9036-D5FE9C4D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2">
    <w:name w:val="Header or footer|2_"/>
    <w:basedOn w:val="a0"/>
    <w:link w:val="Headerorfooter20"/>
    <w:rPr>
      <w:bCs w:val="0"/>
      <w:i w:val="0"/>
      <w:iCs w:val="0"/>
      <w:smallCaps w:val="0"/>
      <w:strike w:val="0"/>
      <w:sz w:val="20"/>
      <w:szCs w:val="20"/>
      <w:u w:val="none"/>
    </w:rPr>
  </w:style>
  <w:style w:type="character" w:customStyle="1" w:styleId="Bodytext2">
    <w:name w:val="Body text|2_"/>
    <w:basedOn w:val="a0"/>
    <w:link w:val="Bodytext20"/>
    <w:rPr>
      <w:rFonts w:ascii="Arial" w:eastAsia="Arial" w:hAnsi="Arial" w:cs="Arial"/>
      <w:bCs w:val="0"/>
      <w:i w:val="0"/>
      <w:iCs w:val="0"/>
      <w:smallCaps w:val="0"/>
      <w:strike w:val="0"/>
      <w:sz w:val="16"/>
      <w:szCs w:val="16"/>
      <w:u w:val="none"/>
    </w:rPr>
  </w:style>
  <w:style w:type="character" w:customStyle="1" w:styleId="Bodytext3">
    <w:name w:val="Body text|3_"/>
    <w:basedOn w:val="a0"/>
    <w:link w:val="Bodytext30"/>
    <w:rPr>
      <w:rFonts w:ascii="Arial" w:eastAsia="Arial" w:hAnsi="Arial" w:cs="Arial"/>
      <w:bCs w:val="0"/>
      <w:i w:val="0"/>
      <w:iCs w:val="0"/>
      <w:smallCaps w:val="0"/>
      <w:strike w:val="0"/>
      <w:sz w:val="12"/>
      <w:szCs w:val="12"/>
      <w:u w:val="none"/>
    </w:rPr>
  </w:style>
  <w:style w:type="character" w:customStyle="1" w:styleId="Bodytext1">
    <w:name w:val="Body text|1_"/>
    <w:basedOn w:val="a0"/>
    <w:link w:val="Bodytext10"/>
    <w:rPr>
      <w:rFonts w:ascii="Arial" w:eastAsia="Arial" w:hAnsi="Arial" w:cs="Arial"/>
      <w:bCs w:val="0"/>
      <w:i w:val="0"/>
      <w:iCs w:val="0"/>
      <w:smallCaps w:val="0"/>
      <w:strike w:val="0"/>
      <w:sz w:val="18"/>
      <w:szCs w:val="18"/>
      <w:u w:val="none"/>
    </w:rPr>
  </w:style>
  <w:style w:type="character" w:customStyle="1" w:styleId="Bodytext5">
    <w:name w:val="Body text|5_"/>
    <w:basedOn w:val="a0"/>
    <w:link w:val="Bodytext50"/>
    <w:rPr>
      <w:rFonts w:ascii="Arial" w:eastAsia="Arial" w:hAnsi="Arial" w:cs="Arial"/>
      <w:b/>
      <w:bCs/>
      <w:i w:val="0"/>
      <w:iCs w:val="0"/>
      <w:smallCaps w:val="0"/>
      <w:strike w:val="0"/>
      <w:sz w:val="32"/>
      <w:szCs w:val="32"/>
      <w:u w:val="none"/>
    </w:rPr>
  </w:style>
  <w:style w:type="character" w:customStyle="1" w:styleId="Bodytext4">
    <w:name w:val="Body text|4_"/>
    <w:basedOn w:val="a0"/>
    <w:link w:val="Bodytext40"/>
    <w:rPr>
      <w:rFonts w:ascii="Arial" w:eastAsia="Arial" w:hAnsi="Arial" w:cs="Arial"/>
      <w:bCs w:val="0"/>
      <w:i w:val="0"/>
      <w:iCs w:val="0"/>
      <w:smallCaps w:val="0"/>
      <w:strike w:val="0"/>
      <w:sz w:val="14"/>
      <w:szCs w:val="14"/>
      <w:u w:val="none"/>
    </w:rPr>
  </w:style>
  <w:style w:type="character" w:customStyle="1" w:styleId="Heading11">
    <w:name w:val="Heading #1|1_"/>
    <w:basedOn w:val="a0"/>
    <w:link w:val="Heading110"/>
    <w:rPr>
      <w:rFonts w:ascii="Arial" w:eastAsia="Arial" w:hAnsi="Arial" w:cs="Arial"/>
      <w:b/>
      <w:bCs/>
      <w:i w:val="0"/>
      <w:iCs w:val="0"/>
      <w:smallCaps w:val="0"/>
      <w:strike w:val="0"/>
      <w:sz w:val="18"/>
      <w:szCs w:val="18"/>
      <w:u w:val="none"/>
    </w:rPr>
  </w:style>
  <w:style w:type="character" w:customStyle="1" w:styleId="Heading21">
    <w:name w:val="Heading #2|1_"/>
    <w:basedOn w:val="a0"/>
    <w:link w:val="Heading210"/>
    <w:rPr>
      <w:rFonts w:ascii="Arial" w:eastAsia="Arial" w:hAnsi="Arial" w:cs="Arial"/>
      <w:bCs w:val="0"/>
      <w:i/>
      <w:iCs/>
      <w:smallCaps w:val="0"/>
      <w:strike w:val="0"/>
      <w:sz w:val="18"/>
      <w:szCs w:val="18"/>
      <w:u w:val="none"/>
    </w:rPr>
  </w:style>
  <w:style w:type="character" w:customStyle="1" w:styleId="Picturecaption1">
    <w:name w:val="Picture caption|1_"/>
    <w:basedOn w:val="a0"/>
    <w:link w:val="Picturecaption10"/>
    <w:rPr>
      <w:rFonts w:ascii="Arial" w:eastAsia="Arial" w:hAnsi="Arial" w:cs="Arial"/>
      <w:bCs w:val="0"/>
      <w:i w:val="0"/>
      <w:iCs w:val="0"/>
      <w:smallCaps w:val="0"/>
      <w:strike w:val="0"/>
      <w:sz w:val="16"/>
      <w:szCs w:val="16"/>
      <w:u w:val="none"/>
    </w:rPr>
  </w:style>
  <w:style w:type="character" w:customStyle="1" w:styleId="Other1">
    <w:name w:val="Other|1_"/>
    <w:basedOn w:val="a0"/>
    <w:link w:val="Other10"/>
    <w:rPr>
      <w:rFonts w:ascii="Arial" w:eastAsia="Arial" w:hAnsi="Arial" w:cs="Arial"/>
      <w:b w:val="0"/>
      <w:bCs w:val="0"/>
      <w:i w:val="0"/>
      <w:iCs w:val="0"/>
      <w:smallCaps w:val="0"/>
      <w:strike w:val="0"/>
      <w:sz w:val="18"/>
      <w:szCs w:val="18"/>
      <w:u w:val="none"/>
    </w:rPr>
  </w:style>
  <w:style w:type="paragraph" w:customStyle="1" w:styleId="Headerorfooter20">
    <w:name w:val="Header or footer|2"/>
    <w:basedOn w:val="a"/>
    <w:link w:val="Headerorfooter2"/>
    <w:rPr>
      <w:sz w:val="20"/>
      <w:szCs w:val="20"/>
    </w:rPr>
  </w:style>
  <w:style w:type="paragraph" w:customStyle="1" w:styleId="Bodytext20">
    <w:name w:val="Body text|2"/>
    <w:basedOn w:val="a"/>
    <w:link w:val="Bodytext2"/>
    <w:pPr>
      <w:spacing w:line="300" w:lineRule="auto"/>
      <w:ind w:left="440" w:hanging="440"/>
    </w:pPr>
    <w:rPr>
      <w:rFonts w:ascii="Arial" w:eastAsia="Arial" w:hAnsi="Arial" w:cs="Arial"/>
      <w:sz w:val="16"/>
      <w:szCs w:val="16"/>
    </w:rPr>
  </w:style>
  <w:style w:type="paragraph" w:customStyle="1" w:styleId="Bodytext30">
    <w:name w:val="Body text|3"/>
    <w:basedOn w:val="a"/>
    <w:link w:val="Bodytext3"/>
    <w:pPr>
      <w:spacing w:line="415" w:lineRule="auto"/>
    </w:pPr>
    <w:rPr>
      <w:rFonts w:ascii="Arial" w:eastAsia="Arial" w:hAnsi="Arial" w:cs="Arial"/>
      <w:sz w:val="12"/>
      <w:szCs w:val="12"/>
    </w:rPr>
  </w:style>
  <w:style w:type="paragraph" w:customStyle="1" w:styleId="Bodytext10">
    <w:name w:val="Body text|1"/>
    <w:basedOn w:val="a"/>
    <w:link w:val="Bodytext1"/>
    <w:pPr>
      <w:spacing w:after="100" w:line="290" w:lineRule="auto"/>
      <w:ind w:firstLine="400"/>
    </w:pPr>
    <w:rPr>
      <w:rFonts w:ascii="Arial" w:eastAsia="Arial" w:hAnsi="Arial" w:cs="Arial"/>
      <w:sz w:val="18"/>
      <w:szCs w:val="18"/>
    </w:rPr>
  </w:style>
  <w:style w:type="paragraph" w:customStyle="1" w:styleId="Bodytext50">
    <w:name w:val="Body text|5"/>
    <w:basedOn w:val="a"/>
    <w:link w:val="Bodytext5"/>
    <w:pPr>
      <w:spacing w:after="100"/>
    </w:pPr>
    <w:rPr>
      <w:rFonts w:ascii="Arial" w:eastAsia="Arial" w:hAnsi="Arial" w:cs="Arial"/>
      <w:b/>
      <w:bCs/>
      <w:sz w:val="32"/>
      <w:szCs w:val="32"/>
    </w:rPr>
  </w:style>
  <w:style w:type="paragraph" w:customStyle="1" w:styleId="Bodytext40">
    <w:name w:val="Body text|4"/>
    <w:basedOn w:val="a"/>
    <w:link w:val="Bodytext4"/>
    <w:pPr>
      <w:spacing w:line="322" w:lineRule="auto"/>
      <w:ind w:left="2920" w:hanging="280"/>
    </w:pPr>
    <w:rPr>
      <w:rFonts w:ascii="Arial" w:eastAsia="Arial" w:hAnsi="Arial" w:cs="Arial"/>
      <w:sz w:val="14"/>
      <w:szCs w:val="14"/>
    </w:rPr>
  </w:style>
  <w:style w:type="paragraph" w:customStyle="1" w:styleId="Heading110">
    <w:name w:val="Heading #1|1"/>
    <w:basedOn w:val="a"/>
    <w:link w:val="Heading11"/>
    <w:pPr>
      <w:spacing w:line="290" w:lineRule="auto"/>
      <w:ind w:left="2620"/>
      <w:outlineLvl w:val="0"/>
    </w:pPr>
    <w:rPr>
      <w:rFonts w:ascii="Arial" w:eastAsia="Arial" w:hAnsi="Arial" w:cs="Arial"/>
      <w:b/>
      <w:bCs/>
      <w:sz w:val="18"/>
      <w:szCs w:val="18"/>
    </w:rPr>
  </w:style>
  <w:style w:type="paragraph" w:customStyle="1" w:styleId="Heading210">
    <w:name w:val="Heading #2|1"/>
    <w:basedOn w:val="a"/>
    <w:link w:val="Heading21"/>
    <w:pPr>
      <w:spacing w:after="40" w:line="290" w:lineRule="auto"/>
      <w:ind w:left="2620"/>
      <w:outlineLvl w:val="1"/>
    </w:pPr>
    <w:rPr>
      <w:rFonts w:ascii="Arial" w:eastAsia="Arial" w:hAnsi="Arial" w:cs="Arial"/>
      <w:i/>
      <w:iCs/>
      <w:sz w:val="18"/>
      <w:szCs w:val="18"/>
    </w:rPr>
  </w:style>
  <w:style w:type="paragraph" w:customStyle="1" w:styleId="Picturecaption10">
    <w:name w:val="Picture caption|1"/>
    <w:basedOn w:val="a"/>
    <w:link w:val="Picturecaption1"/>
    <w:pPr>
      <w:spacing w:line="334" w:lineRule="auto"/>
    </w:pPr>
    <w:rPr>
      <w:rFonts w:ascii="Arial" w:eastAsia="Arial" w:hAnsi="Arial" w:cs="Arial"/>
      <w:sz w:val="16"/>
      <w:szCs w:val="16"/>
    </w:rPr>
  </w:style>
  <w:style w:type="paragraph" w:customStyle="1" w:styleId="Other10">
    <w:name w:val="Other|1"/>
    <w:basedOn w:val="a"/>
    <w:link w:val="Other1"/>
    <w:pPr>
      <w:spacing w:after="100" w:line="290" w:lineRule="auto"/>
      <w:ind w:firstLine="400"/>
    </w:pPr>
    <w:rPr>
      <w:rFonts w:ascii="Arial" w:eastAsia="Arial" w:hAnsi="Arial" w:cs="Arial"/>
      <w:sz w:val="18"/>
      <w:szCs w:val="18"/>
    </w:rPr>
  </w:style>
  <w:style w:type="character" w:styleId="a3">
    <w:name w:val="Hyperlink"/>
    <w:basedOn w:val="a0"/>
    <w:uiPriority w:val="99"/>
    <w:rsid w:val="005832BD"/>
    <w:rPr>
      <w:color w:val="0563C1"/>
      <w:u w:val="single"/>
    </w:rPr>
  </w:style>
  <w:style w:type="paragraph" w:styleId="a4">
    <w:name w:val="Balloon Text"/>
    <w:basedOn w:val="a"/>
    <w:link w:val="a5"/>
    <w:uiPriority w:val="99"/>
    <w:semiHidden/>
    <w:unhideWhenUsed/>
    <w:rsid w:val="00663008"/>
    <w:rPr>
      <w:rFonts w:ascii="Tahoma" w:hAnsi="Tahoma" w:cs="Tahoma"/>
      <w:sz w:val="16"/>
      <w:szCs w:val="16"/>
    </w:rPr>
  </w:style>
  <w:style w:type="character" w:customStyle="1" w:styleId="a5">
    <w:name w:val="Текст выноски Знак"/>
    <w:basedOn w:val="a0"/>
    <w:link w:val="a4"/>
    <w:uiPriority w:val="99"/>
    <w:semiHidden/>
    <w:rsid w:val="00663008"/>
    <w:rPr>
      <w:rFonts w:ascii="Tahoma" w:hAnsi="Tahoma" w:cs="Tahoma"/>
      <w:color w:val="000000"/>
      <w:sz w:val="16"/>
      <w:szCs w:val="16"/>
    </w:rPr>
  </w:style>
  <w:style w:type="table" w:styleId="a6">
    <w:name w:val="Table Grid"/>
    <w:basedOn w:val="a1"/>
    <w:uiPriority w:val="59"/>
    <w:rsid w:val="002C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21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3218">
      <w:bodyDiv w:val="1"/>
      <w:marLeft w:val="0"/>
      <w:marRight w:val="0"/>
      <w:marTop w:val="0"/>
      <w:marBottom w:val="0"/>
      <w:divBdr>
        <w:top w:val="none" w:sz="0" w:space="0" w:color="auto"/>
        <w:left w:val="none" w:sz="0" w:space="0" w:color="auto"/>
        <w:bottom w:val="none" w:sz="0" w:space="0" w:color="auto"/>
        <w:right w:val="none" w:sz="0" w:space="0" w:color="auto"/>
      </w:divBdr>
      <w:divsChild>
        <w:div w:id="831212567">
          <w:marLeft w:val="0"/>
          <w:marRight w:val="0"/>
          <w:marTop w:val="0"/>
          <w:marBottom w:val="0"/>
          <w:divBdr>
            <w:top w:val="none" w:sz="0" w:space="0" w:color="auto"/>
            <w:left w:val="none" w:sz="0" w:space="0" w:color="auto"/>
            <w:bottom w:val="none" w:sz="0" w:space="0" w:color="auto"/>
            <w:right w:val="none" w:sz="0" w:space="0" w:color="auto"/>
          </w:divBdr>
        </w:div>
        <w:div w:id="6386548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luv_jo@snu.ac.kr" TargetMode="External"/><Relationship Id="rId117" Type="http://schemas.openxmlformats.org/officeDocument/2006/relationships/hyperlink" Target="http://doi.org/10.1155/2015/964321" TargetMode="External"/><Relationship Id="rId21" Type="http://schemas.openxmlformats.org/officeDocument/2006/relationships/hyperlink" Target="mailto:rhcjfgus@snu.ac.kr" TargetMode="External"/><Relationship Id="rId42" Type="http://schemas.openxmlformats.org/officeDocument/2006/relationships/image" Target="media/image4.png"/><Relationship Id="rId47" Type="http://schemas.openxmlformats.org/officeDocument/2006/relationships/hyperlink" Target="https://www.mdpi.com/article/10.3390/biomedicines10051113/s1" TargetMode="External"/><Relationship Id="rId63" Type="http://schemas.openxmlformats.org/officeDocument/2006/relationships/hyperlink" Target="http://doi.org/10.1016/j.cell.2013.04.023" TargetMode="External"/><Relationship Id="rId68" Type="http://schemas.openxmlformats.org/officeDocument/2006/relationships/hyperlink" Target="http://doi.org/10.1016/j.tibs.2013.01.004" TargetMode="External"/><Relationship Id="rId84" Type="http://schemas.openxmlformats.org/officeDocument/2006/relationships/hyperlink" Target="http://doi.org/10.3389/fchem.2014.00061" TargetMode="External"/><Relationship Id="rId89" Type="http://schemas.openxmlformats.org/officeDocument/2006/relationships/hyperlink" Target="http://doi.org/10.1042/BJ20080622" TargetMode="External"/><Relationship Id="rId112" Type="http://schemas.openxmlformats.org/officeDocument/2006/relationships/hyperlink" Target="http://doi.org/10.4143/crt.2014.054" TargetMode="External"/><Relationship Id="rId16" Type="http://schemas.openxmlformats.org/officeDocument/2006/relationships/hyperlink" Target="https://doi.org/10.3390/biomedicines10051113" TargetMode="External"/><Relationship Id="rId107" Type="http://schemas.openxmlformats.org/officeDocument/2006/relationships/hyperlink" Target="http://www.ncbi.nlm.nih.gov/pubmed/30621618" TargetMode="External"/><Relationship Id="rId11" Type="http://schemas.openxmlformats.org/officeDocument/2006/relationships/footer" Target="footer1.xml"/><Relationship Id="rId32" Type="http://schemas.openxmlformats.org/officeDocument/2006/relationships/hyperlink" Target="mailto:carpediem0912@naver.com" TargetMode="External"/><Relationship Id="rId37" Type="http://schemas.openxmlformats.org/officeDocument/2006/relationships/image" Target="media/image3.jpeg"/><Relationship Id="rId53" Type="http://schemas.openxmlformats.org/officeDocument/2006/relationships/hyperlink" Target="http://doi.org/10.1177/1758835919875568" TargetMode="External"/><Relationship Id="rId58" Type="http://schemas.openxmlformats.org/officeDocument/2006/relationships/hyperlink" Target="http://www.ncbi.nlm.nih.gov/pubmed/34859257" TargetMode="External"/><Relationship Id="rId74" Type="http://schemas.openxmlformats.org/officeDocument/2006/relationships/hyperlink" Target="http://doi.org/10.1073/pnas.1919250117" TargetMode="External"/><Relationship Id="rId79" Type="http://schemas.openxmlformats.org/officeDocument/2006/relationships/hyperlink" Target="http://doi.org/10.1016/j.tibs.2010.05.003" TargetMode="External"/><Relationship Id="rId102" Type="http://schemas.openxmlformats.org/officeDocument/2006/relationships/hyperlink" Target="http://doi.org/10.4110/in.2015.15.6.304" TargetMode="External"/><Relationship Id="rId123" Type="http://schemas.openxmlformats.org/officeDocument/2006/relationships/hyperlink" Target="http://doi.org/10.1042/BJ20150437" TargetMode="External"/><Relationship Id="rId128" Type="http://schemas.openxmlformats.org/officeDocument/2006/relationships/footer" Target="footer5.xml"/><Relationship Id="rId5" Type="http://schemas.openxmlformats.org/officeDocument/2006/relationships/footnotes" Target="footnotes.xml"/><Relationship Id="rId90" Type="http://schemas.openxmlformats.org/officeDocument/2006/relationships/hyperlink" Target="http://www.ncbi.nlm.nih.gov/pubmed/18522536" TargetMode="External"/><Relationship Id="rId95" Type="http://schemas.openxmlformats.org/officeDocument/2006/relationships/hyperlink" Target="http://doi.org/10.1111/bph.13616" TargetMode="External"/><Relationship Id="rId19" Type="http://schemas.openxmlformats.org/officeDocument/2006/relationships/hyperlink" Target="https://orcid.org/0000-0001-6448-417X" TargetMode="External"/><Relationship Id="rId14" Type="http://schemas.openxmlformats.org/officeDocument/2006/relationships/footer" Target="footer3.xml"/><Relationship Id="rId22" Type="http://schemas.openxmlformats.org/officeDocument/2006/relationships/hyperlink" Target="mailto:pierce52@snu.ac.kr" TargetMode="External"/><Relationship Id="rId27" Type="http://schemas.openxmlformats.org/officeDocument/2006/relationships/hyperlink" Target="mailto:ddhh12345@snu.ac.kr" TargetMode="External"/><Relationship Id="rId30" Type="http://schemas.openxmlformats.org/officeDocument/2006/relationships/hyperlink" Target="mailto:baesh9706@snu.ac.kr" TargetMode="External"/><Relationship Id="rId35" Type="http://schemas.openxmlformats.org/officeDocument/2006/relationships/hyperlink" Target="mailto:bbambaya921@snu.ac.kr" TargetMode="External"/><Relationship Id="rId43" Type="http://schemas.openxmlformats.org/officeDocument/2006/relationships/image" Target="media/image5.png"/><Relationship Id="rId48" Type="http://schemas.openxmlformats.org/officeDocument/2006/relationships/hyperlink" Target="https://www.mdpi.com/article/10.3390/biomedicines10051113/s1" TargetMode="External"/><Relationship Id="rId56" Type="http://schemas.openxmlformats.org/officeDocument/2006/relationships/hyperlink" Target="http://www.ncbi.nlm.nih.gov/pubmed/29382159" TargetMode="External"/><Relationship Id="rId64" Type="http://schemas.openxmlformats.org/officeDocument/2006/relationships/hyperlink" Target="http://doi.org/10.1016/j.bbadis.2018.03.013" TargetMode="External"/><Relationship Id="rId69" Type="http://schemas.openxmlformats.org/officeDocument/2006/relationships/hyperlink" Target="http://www.ncbi.nlm.nih.gov/pubmed/23465396" TargetMode="External"/><Relationship Id="rId77" Type="http://schemas.openxmlformats.org/officeDocument/2006/relationships/hyperlink" Target="http://www.ncbi.nlm.nih.gov/pubmed/26045471" TargetMode="External"/><Relationship Id="rId100" Type="http://schemas.openxmlformats.org/officeDocument/2006/relationships/hyperlink" Target="http://doi.org/10.1016/j.intimp.2011.10.016" TargetMode="External"/><Relationship Id="rId105" Type="http://schemas.openxmlformats.org/officeDocument/2006/relationships/hyperlink" Target="http://www.ncbi.nlm.nih.gov/pubmed/32379301" TargetMode="External"/><Relationship Id="rId113" Type="http://schemas.openxmlformats.org/officeDocument/2006/relationships/hyperlink" Target="http://doi.org/10.3390/cancers11060770" TargetMode="External"/><Relationship Id="rId118" Type="http://schemas.openxmlformats.org/officeDocument/2006/relationships/hyperlink" Target="http://www.ncbi.nlm.nih.gov/pubmed/26583064" TargetMode="External"/><Relationship Id="rId126" Type="http://schemas.openxmlformats.org/officeDocument/2006/relationships/header" Target="header5.xml"/><Relationship Id="rId8" Type="http://schemas.openxmlformats.org/officeDocument/2006/relationships/image" Target="media/image2.jpeg"/><Relationship Id="rId51" Type="http://schemas.openxmlformats.org/officeDocument/2006/relationships/hyperlink" Target="http://doi.org/10.1001/jama.2021.13027" TargetMode="External"/><Relationship Id="rId72" Type="http://schemas.openxmlformats.org/officeDocument/2006/relationships/hyperlink" Target="http://doi.org/10.1111/his.13334" TargetMode="External"/><Relationship Id="rId80" Type="http://schemas.openxmlformats.org/officeDocument/2006/relationships/hyperlink" Target="http://www.ncbi.nlm.nih.gov/pubmed/20570523" TargetMode="External"/><Relationship Id="rId85" Type="http://schemas.openxmlformats.org/officeDocument/2006/relationships/hyperlink" Target="http://doi.org/10.1016/j.bbamcr.2015.12.017" TargetMode="External"/><Relationship Id="rId93" Type="http://schemas.openxmlformats.org/officeDocument/2006/relationships/hyperlink" Target="http://doi.org/10.1155/2015/593572" TargetMode="External"/><Relationship Id="rId98" Type="http://schemas.openxmlformats.org/officeDocument/2006/relationships/hyperlink" Target="http://doi.org/10.1002/psc.1219" TargetMode="External"/><Relationship Id="rId121" Type="http://schemas.openxmlformats.org/officeDocument/2006/relationships/hyperlink" Target="http://doi.org/10.1208/s12248-017-0164-7"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doi.org/10.3390/biomedicines10051113" TargetMode="External"/><Relationship Id="rId25" Type="http://schemas.openxmlformats.org/officeDocument/2006/relationships/hyperlink" Target="mailto:carpediem0912@naver.com" TargetMode="External"/><Relationship Id="rId33" Type="http://schemas.openxmlformats.org/officeDocument/2006/relationships/hyperlink" Target="mailto:dong1109@bu.edu" TargetMode="External"/><Relationship Id="rId38" Type="http://schemas.openxmlformats.org/officeDocument/2006/relationships/hyperlink" Target="https://creativecommons.org/licenses/by/4.0/" TargetMode="External"/><Relationship Id="rId46" Type="http://schemas.openxmlformats.org/officeDocument/2006/relationships/image" Target="media/image8.png"/><Relationship Id="rId59" Type="http://schemas.openxmlformats.org/officeDocument/2006/relationships/hyperlink" Target="http://doi.org/10.1177/1533033820962117" TargetMode="External"/><Relationship Id="rId67" Type="http://schemas.openxmlformats.org/officeDocument/2006/relationships/hyperlink" Target="http://www.ncbi.nlm.nih.gov/pubmed/19203585" TargetMode="External"/><Relationship Id="rId103" Type="http://schemas.openxmlformats.org/officeDocument/2006/relationships/hyperlink" Target="http://www.ncbi.nlm.nih.gov/pubmed/26770184" TargetMode="External"/><Relationship Id="rId108" Type="http://schemas.openxmlformats.org/officeDocument/2006/relationships/hyperlink" Target="http://doi.org/10.2147/DDDT.S156766" TargetMode="External"/><Relationship Id="rId116" Type="http://schemas.openxmlformats.org/officeDocument/2006/relationships/hyperlink" Target="http://www.ncbi.nlm.nih.gov/pubmed/28301735" TargetMode="External"/><Relationship Id="rId124" Type="http://schemas.openxmlformats.org/officeDocument/2006/relationships/hyperlink" Target="http://www.ncbi.nlm.nih.gov/pubmed/26173258" TargetMode="External"/><Relationship Id="rId129" Type="http://schemas.openxmlformats.org/officeDocument/2006/relationships/fontTable" Target="fontTable.xml"/><Relationship Id="rId20" Type="http://schemas.openxmlformats.org/officeDocument/2006/relationships/hyperlink" Target="mailto:ddhh12345@snu.ac.kr" TargetMode="External"/><Relationship Id="rId41" Type="http://schemas.openxmlformats.org/officeDocument/2006/relationships/hyperlink" Target="https://creativecommons.org/licenses/by/4.0/" TargetMode="External"/><Relationship Id="rId54" Type="http://schemas.openxmlformats.org/officeDocument/2006/relationships/hyperlink" Target="http://www.ncbi.nlm.nih.gov/pubmed/31598142" TargetMode="External"/><Relationship Id="rId62" Type="http://schemas.openxmlformats.org/officeDocument/2006/relationships/hyperlink" Target="http://doi.org/10.1590/S0100-879X2003000200002" TargetMode="External"/><Relationship Id="rId70" Type="http://schemas.openxmlformats.org/officeDocument/2006/relationships/hyperlink" Target="http://doi.org/10.1038/onc.2009.358" TargetMode="External"/><Relationship Id="rId75" Type="http://schemas.openxmlformats.org/officeDocument/2006/relationships/hyperlink" Target="http://doi.org/10.3390/ijms20020252" TargetMode="External"/><Relationship Id="rId83" Type="http://schemas.openxmlformats.org/officeDocument/2006/relationships/hyperlink" Target="http://doi.org/10.1042/bj20030405" TargetMode="External"/><Relationship Id="rId88" Type="http://schemas.openxmlformats.org/officeDocument/2006/relationships/hyperlink" Target="http://doi.org/10.1016/j.ygyno.2005.08.016" TargetMode="External"/><Relationship Id="rId91" Type="http://schemas.openxmlformats.org/officeDocument/2006/relationships/hyperlink" Target="http://doi.org/10.1074/jbc.M111.229518" TargetMode="External"/><Relationship Id="rId96" Type="http://schemas.openxmlformats.org/officeDocument/2006/relationships/hyperlink" Target="http://doi.org/10.3892/or.2017.5530" TargetMode="External"/><Relationship Id="rId111" Type="http://schemas.openxmlformats.org/officeDocument/2006/relationships/hyperlink" Target="http://doi.org/10.1186/1476-4598-8-12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3390/biomedicines10051113" TargetMode="External"/><Relationship Id="rId23" Type="http://schemas.openxmlformats.org/officeDocument/2006/relationships/hyperlink" Target="mailto:baesh9706@snu.ac.kr" TargetMode="External"/><Relationship Id="rId28" Type="http://schemas.openxmlformats.org/officeDocument/2006/relationships/hyperlink" Target="mailto:rhcjfgus@snu.ac.kr" TargetMode="External"/><Relationship Id="rId36" Type="http://schemas.openxmlformats.org/officeDocument/2006/relationships/hyperlink" Target="mailto:genius29@snu.ac.kr" TargetMode="External"/><Relationship Id="rId49" Type="http://schemas.openxmlformats.org/officeDocument/2006/relationships/hyperlink" Target="http://www.cancer.org/cancer/pancreatic-cancer/detection-diagnosis-staging/survival-rates.html" TargetMode="External"/><Relationship Id="rId57" Type="http://schemas.openxmlformats.org/officeDocument/2006/relationships/hyperlink" Target="http://doi.org/10.3892/ijo.2021.5290" TargetMode="External"/><Relationship Id="rId106" Type="http://schemas.openxmlformats.org/officeDocument/2006/relationships/hyperlink" Target="http://doi.org/10.1186/s12885-018-5244-2" TargetMode="External"/><Relationship Id="rId114" Type="http://schemas.openxmlformats.org/officeDocument/2006/relationships/hyperlink" Target="http://doi.org/10.1038/nrc.2016.71" TargetMode="External"/><Relationship Id="rId119" Type="http://schemas.openxmlformats.org/officeDocument/2006/relationships/hyperlink" Target="http://doi.org/10.1042/BCJ20200099" TargetMode="External"/><Relationship Id="rId127" Type="http://schemas.openxmlformats.org/officeDocument/2006/relationships/footer" Target="footer4.xml"/><Relationship Id="rId10" Type="http://schemas.openxmlformats.org/officeDocument/2006/relationships/header" Target="header2.xml"/><Relationship Id="rId31" Type="http://schemas.openxmlformats.org/officeDocument/2006/relationships/hyperlink" Target="mailto:tomoyoagura@gmail.com" TargetMode="External"/><Relationship Id="rId44" Type="http://schemas.openxmlformats.org/officeDocument/2006/relationships/image" Target="media/image6.png"/><Relationship Id="rId52" Type="http://schemas.openxmlformats.org/officeDocument/2006/relationships/hyperlink" Target="http://www.ncbi.nlm.nih.gov/pubmed/34547082" TargetMode="External"/><Relationship Id="rId60" Type="http://schemas.openxmlformats.org/officeDocument/2006/relationships/hyperlink" Target="http://doi.org/10.1038/s41598-020-64068-3" TargetMode="External"/><Relationship Id="rId65" Type="http://schemas.openxmlformats.org/officeDocument/2006/relationships/hyperlink" Target="http://www.ncbi.nlm.nih.gov/pubmed/29555211" TargetMode="External"/><Relationship Id="rId73" Type="http://schemas.openxmlformats.org/officeDocument/2006/relationships/hyperlink" Target="http://doi.org/10.3389/fonc.2019.00686" TargetMode="External"/><Relationship Id="rId78" Type="http://schemas.openxmlformats.org/officeDocument/2006/relationships/hyperlink" Target="http://doi.org/10.1001/jama.2015.7175" TargetMode="External"/><Relationship Id="rId81" Type="http://schemas.openxmlformats.org/officeDocument/2006/relationships/hyperlink" Target="http://doi.org/10.1016/j.trecan.2017.01.005" TargetMode="External"/><Relationship Id="rId86" Type="http://schemas.openxmlformats.org/officeDocument/2006/relationships/hyperlink" Target="http://doi.org/10.1016/j.ajps.2014.04.004" TargetMode="External"/><Relationship Id="rId94" Type="http://schemas.openxmlformats.org/officeDocument/2006/relationships/hyperlink" Target="http://www.ncbi.nlm.nih.gov/pubmed/26106611" TargetMode="External"/><Relationship Id="rId99" Type="http://schemas.openxmlformats.org/officeDocument/2006/relationships/hyperlink" Target="http://doi.org/10.1016/j.imlet.2012.09.005" TargetMode="External"/><Relationship Id="rId101" Type="http://schemas.openxmlformats.org/officeDocument/2006/relationships/hyperlink" Target="http://doi.org/10.1016/j.imbio.2012.12.002" TargetMode="External"/><Relationship Id="rId122" Type="http://schemas.openxmlformats.org/officeDocument/2006/relationships/hyperlink" Target="http://www.ncbi.nlm.nih.gov/pubmed/29204754"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doi.org/10.3390/biomedicines10051113" TargetMode="External"/><Relationship Id="rId39" Type="http://schemas.openxmlformats.org/officeDocument/2006/relationships/hyperlink" Target="https://creativecommons.org/licenses/by/4.0/" TargetMode="External"/><Relationship Id="rId109" Type="http://schemas.openxmlformats.org/officeDocument/2006/relationships/hyperlink" Target="http://www.ncbi.nlm.nih.gov/pubmed/29563772" TargetMode="External"/><Relationship Id="rId34" Type="http://schemas.openxmlformats.org/officeDocument/2006/relationships/hyperlink" Target="mailto:dong1109@bu.edu" TargetMode="External"/><Relationship Id="rId50" Type="http://schemas.openxmlformats.org/officeDocument/2006/relationships/hyperlink" Target="http://www.cancer.org/cancer/pancreatic-cancer/detection-diagnosis-staging/survival-rates.html" TargetMode="External"/><Relationship Id="rId55" Type="http://schemas.openxmlformats.org/officeDocument/2006/relationships/hyperlink" Target="http://doi.org/10.3390/cancers10020036" TargetMode="External"/><Relationship Id="rId76" Type="http://schemas.openxmlformats.org/officeDocument/2006/relationships/hyperlink" Target="http://doi.org/10.1530/ERC-15-0192" TargetMode="External"/><Relationship Id="rId97" Type="http://schemas.openxmlformats.org/officeDocument/2006/relationships/hyperlink" Target="http://doi.org/10.1073/pnas.192301899" TargetMode="External"/><Relationship Id="rId104" Type="http://schemas.openxmlformats.org/officeDocument/2006/relationships/hyperlink" Target="http://doi.org/10.1042/BCJ20200275" TargetMode="External"/><Relationship Id="rId120" Type="http://schemas.openxmlformats.org/officeDocument/2006/relationships/hyperlink" Target="http://www.ncbi.nlm.nih.gov/pubmed/32219372" TargetMode="External"/><Relationship Id="rId125" Type="http://schemas.openxmlformats.org/officeDocument/2006/relationships/header" Target="header4.xml"/><Relationship Id="rId7" Type="http://schemas.openxmlformats.org/officeDocument/2006/relationships/image" Target="media/image1.jpeg"/><Relationship Id="rId71" Type="http://schemas.openxmlformats.org/officeDocument/2006/relationships/hyperlink" Target="http://doi.org/10.20517/cdr.2018.08" TargetMode="External"/><Relationship Id="rId92" Type="http://schemas.openxmlformats.org/officeDocument/2006/relationships/hyperlink" Target="http://www.ncbi.nlm.nih.gov/pubmed/21771784" TargetMode="External"/><Relationship Id="rId2" Type="http://schemas.openxmlformats.org/officeDocument/2006/relationships/styles" Target="styles.xml"/><Relationship Id="rId29" Type="http://schemas.openxmlformats.org/officeDocument/2006/relationships/hyperlink" Target="mailto:pierce52@snu.ac.kr" TargetMode="External"/><Relationship Id="rId24" Type="http://schemas.openxmlformats.org/officeDocument/2006/relationships/hyperlink" Target="mailto:tomoyoagura@gmail.com" TargetMode="External"/><Relationship Id="rId40" Type="http://schemas.openxmlformats.org/officeDocument/2006/relationships/hyperlink" Target="https://creativecommons.org/licenses/by/4.0/" TargetMode="External"/><Relationship Id="rId45" Type="http://schemas.openxmlformats.org/officeDocument/2006/relationships/image" Target="media/image7.png"/><Relationship Id="rId66" Type="http://schemas.openxmlformats.org/officeDocument/2006/relationships/hyperlink" Target="http://doi.org/10.1016/j.cell.2008.11.044" TargetMode="External"/><Relationship Id="rId87" Type="http://schemas.openxmlformats.org/officeDocument/2006/relationships/hyperlink" Target="http://doi.org/10.1016/j.bbadis.2005.04.002" TargetMode="External"/><Relationship Id="rId110" Type="http://schemas.openxmlformats.org/officeDocument/2006/relationships/hyperlink" Target="http://doi.org/10.21037/jgo.2017.10.12" TargetMode="External"/><Relationship Id="rId115" Type="http://schemas.openxmlformats.org/officeDocument/2006/relationships/hyperlink" Target="http://doi.org/10.1146/annurev-bioeng-071516-044546" TargetMode="External"/><Relationship Id="rId61" Type="http://schemas.openxmlformats.org/officeDocument/2006/relationships/hyperlink" Target="http://doi.org/10.14740/wjon1166" TargetMode="External"/><Relationship Id="rId82" Type="http://schemas.openxmlformats.org/officeDocument/2006/relationships/hyperlink" Target="http://www.ncbi.nlm.nih.gov/pubmed/28393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8042</Words>
  <Characters>45842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Alloferon Affects the Chemosensitivity of Pancreatic Cancer by Regulating the Expression of SLC6A14</vt:lpstr>
    </vt:vector>
  </TitlesOfParts>
  <Company/>
  <LinksUpToDate>false</LinksUpToDate>
  <CharactersWithSpaces>53777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Alloferon Affects the Chemosensitivity of Pancreatic Cancer by Regulating the Expression of SLC6A14</dc:title>
  <dc:subject>Pancreatic cancer (PCa), one of the most malignant solid tumors, has a high mortality rate. Although there have been many trials of chemotherapeutic drugs such as gemcitabine, the mortality rates remain significantly higher than for other types of cancer. Therefore, more effective ways of improving conventional therapy for PCa are needed. Cancer cells take up large amounts of glutamine to drive their rapid proliferation. Recent studies show that the amino acid transporter SLC6A14 is upregulated in some cancers alongside glutamine metabolism. Alloferon, a peptide isolated from the insect immune system, exerts anti-viral and anti-inflammatory effects via its immunomodulatory function. In addition, it has anti-tumoral effects, although the underlying mechanisms are largely unknown. Therefore, we investigated the effects of alloferon on the PCa cell lines Panc-1 and AsPC-1. Exposure of these cells to alloferon for 3 weeks led to the downregulation of SLC6A14 expression and decreased glutamine uptake. Given that SLC6A14 plays a role in tumor progression and survival by promoting glutamine uptake into cancer cells, alloferon could be a potential adjuvant for the chemotherapeutic drug gemcitabine.</dc:subject>
  <dc:creator>Hyejung Jo, Dahae Lee, Cheolhyeon Go, Yoojin Jang, Suhyun Bae, Tomoyo Agura, Jiye Hong, Dongmin Kang, Yejin Kim and Jae Seung Kang</dc:creator>
  <cp:keywords>alloferon; pancreatic cancer; SLC6A14; glutamine; gemcitabine</cp:keywords>
  <cp:lastModifiedBy>Наталья Захарова</cp:lastModifiedBy>
  <cp:revision>5</cp:revision>
  <dcterms:created xsi:type="dcterms:W3CDTF">2022-09-29T10:00:00Z</dcterms:created>
  <dcterms:modified xsi:type="dcterms:W3CDTF">2022-09-30T17:01:00Z</dcterms:modified>
</cp:coreProperties>
</file>